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43A5" w14:textId="77777777" w:rsidR="00660273" w:rsidRDefault="00000000">
      <w:pPr>
        <w:rPr>
          <w:sz w:val="24"/>
          <w:szCs w:val="24"/>
        </w:rPr>
      </w:pPr>
      <w:r>
        <w:rPr>
          <w:noProof/>
          <w:sz w:val="24"/>
          <w:szCs w:val="24"/>
        </w:rPr>
        <w:drawing>
          <wp:anchor distT="0" distB="0" distL="114300" distR="114300" simplePos="0" relativeHeight="251661312" behindDoc="0" locked="0" layoutInCell="1" allowOverlap="1" wp14:anchorId="239EC092" wp14:editId="1C4E6796">
            <wp:simplePos x="0" y="0"/>
            <wp:positionH relativeFrom="margin">
              <wp:posOffset>-348615</wp:posOffset>
            </wp:positionH>
            <wp:positionV relativeFrom="paragraph">
              <wp:posOffset>13335</wp:posOffset>
            </wp:positionV>
            <wp:extent cx="1263015" cy="891540"/>
            <wp:effectExtent l="0" t="0" r="0" b="3810"/>
            <wp:wrapNone/>
            <wp:docPr id="1676929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2927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62875" cy="891540"/>
                    </a:xfrm>
                    <a:prstGeom prst="rect">
                      <a:avLst/>
                    </a:prstGeom>
                    <a:noFill/>
                    <a:ln>
                      <a:noFill/>
                    </a:ln>
                  </pic:spPr>
                </pic:pic>
              </a:graphicData>
            </a:graphic>
          </wp:anchor>
        </w:drawing>
      </w:r>
      <w:r>
        <w:rPr>
          <w:noProof/>
          <w:sz w:val="24"/>
          <w:szCs w:val="24"/>
        </w:rPr>
        <mc:AlternateContent>
          <mc:Choice Requires="wps">
            <w:drawing>
              <wp:anchor distT="45720" distB="45720" distL="114300" distR="114300" simplePos="0" relativeHeight="251659264" behindDoc="1" locked="0" layoutInCell="1" allowOverlap="1" wp14:anchorId="06E8ACB7" wp14:editId="2736A1B1">
                <wp:simplePos x="0" y="0"/>
                <wp:positionH relativeFrom="column">
                  <wp:posOffset>929640</wp:posOffset>
                </wp:positionH>
                <wp:positionV relativeFrom="paragraph">
                  <wp:posOffset>1905</wp:posOffset>
                </wp:positionV>
                <wp:extent cx="4895850" cy="9144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914400"/>
                        </a:xfrm>
                        <a:prstGeom prst="rect">
                          <a:avLst/>
                        </a:prstGeom>
                        <a:solidFill>
                          <a:schemeClr val="accent5">
                            <a:lumMod val="60000"/>
                            <a:lumOff val="40000"/>
                          </a:schemeClr>
                        </a:solidFill>
                        <a:ln w="9525">
                          <a:solidFill>
                            <a:srgbClr val="000000"/>
                          </a:solidFill>
                          <a:miter lim="800000"/>
                        </a:ln>
                      </wps:spPr>
                      <wps:txbx>
                        <w:txbxContent>
                          <w:p w14:paraId="1FCA7C95" w14:textId="77777777" w:rsidR="00660273" w:rsidRDefault="00000000">
                            <w:pPr>
                              <w:jc w:val="center"/>
                              <w:rPr>
                                <w:rFonts w:ascii="Arial Black" w:hAnsi="Arial Black"/>
                                <w:color w:val="2F5496" w:themeColor="accent1" w:themeShade="BF"/>
                                <w:sz w:val="24"/>
                                <w:szCs w:val="24"/>
                                <w:lang w:val="en-US"/>
                              </w:rPr>
                            </w:pPr>
                            <w:r>
                              <w:rPr>
                                <w:rFonts w:ascii="Arial Black" w:hAnsi="Arial Black"/>
                                <w:color w:val="000000" w:themeColor="text1"/>
                                <w:sz w:val="28"/>
                                <w:szCs w:val="28"/>
                                <w:lang w:val="en-US"/>
                              </w:rPr>
                              <w:t>CONTEMPORARY TAX ACCOUNTING JOURNAL</w:t>
                            </w:r>
                          </w:p>
                          <w:p w14:paraId="361A2FDB" w14:textId="77777777" w:rsidR="00660273" w:rsidRDefault="00000000">
                            <w:pPr>
                              <w:jc w:val="center"/>
                              <w:rPr>
                                <w:sz w:val="28"/>
                                <w:szCs w:val="28"/>
                              </w:rPr>
                            </w:pPr>
                            <w:hyperlink r:id="rId9" w:history="1">
                              <w:r>
                                <w:rPr>
                                  <w:rStyle w:val="Hyperlink"/>
                                  <w:sz w:val="28"/>
                                  <w:szCs w:val="28"/>
                                </w:rPr>
                                <w:t>https://openjournal.unpam.ac.id/index.php/CTAJ</w:t>
                              </w:r>
                            </w:hyperlink>
                            <w:r>
                              <w:rPr>
                                <w:sz w:val="28"/>
                                <w:szCs w:val="28"/>
                              </w:rPr>
                              <w:t xml:space="preserve"> </w:t>
                            </w:r>
                          </w:p>
                          <w:p w14:paraId="25AAA23A" w14:textId="2DDDAEF9" w:rsidR="00660273" w:rsidRDefault="00000000">
                            <w:pPr>
                              <w:jc w:val="center"/>
                              <w:rPr>
                                <w:sz w:val="20"/>
                                <w:szCs w:val="20"/>
                                <w:lang w:val="en-US"/>
                              </w:rPr>
                            </w:pPr>
                            <w:r>
                              <w:rPr>
                                <w:sz w:val="24"/>
                                <w:szCs w:val="24"/>
                                <w:lang w:val="en-US"/>
                              </w:rPr>
                              <w:t xml:space="preserve">Volume </w:t>
                            </w:r>
                            <w:r w:rsidR="008F7515">
                              <w:rPr>
                                <w:sz w:val="24"/>
                                <w:szCs w:val="24"/>
                                <w:lang w:val="en-US"/>
                              </w:rPr>
                              <w:t>4</w:t>
                            </w:r>
                            <w:r>
                              <w:rPr>
                                <w:sz w:val="24"/>
                                <w:szCs w:val="24"/>
                                <w:lang w:val="en-US"/>
                              </w:rPr>
                              <w:t xml:space="preserve"> (</w:t>
                            </w:r>
                            <w:r w:rsidR="008F7515">
                              <w:rPr>
                                <w:sz w:val="24"/>
                                <w:szCs w:val="24"/>
                                <w:lang w:val="en-US"/>
                              </w:rPr>
                              <w:t>1</w:t>
                            </w:r>
                            <w:r>
                              <w:rPr>
                                <w:sz w:val="24"/>
                                <w:szCs w:val="24"/>
                                <w:lang w:val="en-US"/>
                              </w:rPr>
                              <w:t xml:space="preserve">) </w:t>
                            </w:r>
                            <w:proofErr w:type="gramStart"/>
                            <w:r>
                              <w:rPr>
                                <w:sz w:val="24"/>
                                <w:szCs w:val="24"/>
                                <w:lang w:val="en-US"/>
                              </w:rPr>
                              <w:t>20</w:t>
                            </w:r>
                            <w:r w:rsidR="008F7515">
                              <w:rPr>
                                <w:sz w:val="24"/>
                                <w:szCs w:val="24"/>
                                <w:lang w:val="en-US"/>
                              </w:rPr>
                              <w:t>26</w:t>
                            </w:r>
                            <w:r>
                              <w:rPr>
                                <w:sz w:val="24"/>
                                <w:szCs w:val="24"/>
                                <w:lang w:val="en-US"/>
                              </w:rPr>
                              <w:t xml:space="preserve">,  </w:t>
                            </w:r>
                            <w:r w:rsidR="008459C0">
                              <w:rPr>
                                <w:sz w:val="24"/>
                                <w:szCs w:val="24"/>
                                <w:lang w:val="en-US"/>
                              </w:rPr>
                              <w:t>10</w:t>
                            </w:r>
                            <w:proofErr w:type="gramEnd"/>
                            <w:r>
                              <w:rPr>
                                <w:sz w:val="24"/>
                                <w:szCs w:val="24"/>
                                <w:lang w:val="en-US"/>
                              </w:rPr>
                              <w:t>-</w:t>
                            </w:r>
                            <w:r w:rsidR="008F7515">
                              <w:rPr>
                                <w:sz w:val="24"/>
                                <w:szCs w:val="24"/>
                                <w:lang w:val="en-US"/>
                              </w:rPr>
                              <w:t>1</w:t>
                            </w:r>
                            <w:r w:rsidR="008459C0">
                              <w:rPr>
                                <w:sz w:val="24"/>
                                <w:szCs w:val="24"/>
                                <w:lang w:val="en-US"/>
                              </w:rPr>
                              <w:t>5</w:t>
                            </w:r>
                          </w:p>
                          <w:p w14:paraId="1E1E515B" w14:textId="77777777" w:rsidR="00660273" w:rsidRDefault="00660273">
                            <w:pPr>
                              <w:jc w:val="center"/>
                              <w:rPr>
                                <w:rFonts w:ascii="Arial Black" w:hAnsi="Arial Black"/>
                                <w:color w:val="000000" w:themeColor="text1"/>
                                <w:sz w:val="24"/>
                                <w:szCs w:val="24"/>
                              </w:rPr>
                            </w:pPr>
                          </w:p>
                        </w:txbxContent>
                      </wps:txbx>
                      <wps:bodyPr rot="0" vert="horz" wrap="square" lIns="91440" tIns="45720" rIns="91440" bIns="45720" anchor="t" anchorCtr="0">
                        <a:noAutofit/>
                      </wps:bodyPr>
                    </wps:wsp>
                  </a:graphicData>
                </a:graphic>
              </wp:anchor>
            </w:drawing>
          </mc:Choice>
          <mc:Fallback>
            <w:pict>
              <v:shapetype w14:anchorId="06E8ACB7" id="_x0000_t202" coordsize="21600,21600" o:spt="202" path="m,l,21600r21600,l21600,xe">
                <v:stroke joinstyle="miter"/>
                <v:path gradientshapeok="t" o:connecttype="rect"/>
              </v:shapetype>
              <v:shape id="Text Box 2" o:spid="_x0000_s1026" type="#_x0000_t202" style="position:absolute;margin-left:73.2pt;margin-top:.15pt;width:385.5pt;height:1in;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" fillcolor="#9cc2e5 [1944]">
                <v:textbox>
                  <w:txbxContent>
                    <w:p w14:paraId="1FCA7C95" w14:textId="77777777" w:rsidR="00660273" w:rsidRDefault="00000000">
                      <w:pPr>
                        <w:jc w:val="center"/>
                        <w:rPr>
                          <w:rFonts w:ascii="Arial Black" w:hAnsi="Arial Black"/>
                          <w:color w:val="2F5496" w:themeColor="accent1" w:themeShade="BF"/>
                          <w:sz w:val="24"/>
                          <w:szCs w:val="24"/>
                          <w:lang w:val="en-US"/>
                        </w:rPr>
                      </w:pPr>
                      <w:r>
                        <w:rPr>
                          <w:rFonts w:ascii="Arial Black" w:hAnsi="Arial Black"/>
                          <w:color w:val="000000" w:themeColor="text1"/>
                          <w:sz w:val="28"/>
                          <w:szCs w:val="28"/>
                          <w:lang w:val="en-US"/>
                        </w:rPr>
                        <w:t>CONTEMPORARY TAX ACCOUNTING JOURNAL</w:t>
                      </w:r>
                    </w:p>
                    <w:p w14:paraId="361A2FDB" w14:textId="77777777" w:rsidR="00660273" w:rsidRDefault="00000000">
                      <w:pPr>
                        <w:jc w:val="center"/>
                        <w:rPr>
                          <w:sz w:val="28"/>
                          <w:szCs w:val="28"/>
                        </w:rPr>
                      </w:pPr>
                      <w:hyperlink r:id="rId10" w:history="1">
                        <w:r>
                          <w:rPr>
                            <w:rStyle w:val="Hyperlink"/>
                            <w:sz w:val="28"/>
                            <w:szCs w:val="28"/>
                          </w:rPr>
                          <w:t>https://openjournal.unpam.ac.id/index.php/CTAJ</w:t>
                        </w:r>
                      </w:hyperlink>
                      <w:r>
                        <w:rPr>
                          <w:sz w:val="28"/>
                          <w:szCs w:val="28"/>
                        </w:rPr>
                        <w:t xml:space="preserve"> </w:t>
                      </w:r>
                    </w:p>
                    <w:p w14:paraId="25AAA23A" w14:textId="2DDDAEF9" w:rsidR="00660273" w:rsidRDefault="00000000">
                      <w:pPr>
                        <w:jc w:val="center"/>
                        <w:rPr>
                          <w:sz w:val="20"/>
                          <w:szCs w:val="20"/>
                          <w:lang w:val="en-US"/>
                        </w:rPr>
                      </w:pPr>
                      <w:r>
                        <w:rPr>
                          <w:sz w:val="24"/>
                          <w:szCs w:val="24"/>
                          <w:lang w:val="en-US"/>
                        </w:rPr>
                        <w:t xml:space="preserve">Volume </w:t>
                      </w:r>
                      <w:r w:rsidR="008F7515">
                        <w:rPr>
                          <w:sz w:val="24"/>
                          <w:szCs w:val="24"/>
                          <w:lang w:val="en-US"/>
                        </w:rPr>
                        <w:t>4</w:t>
                      </w:r>
                      <w:r>
                        <w:rPr>
                          <w:sz w:val="24"/>
                          <w:szCs w:val="24"/>
                          <w:lang w:val="en-US"/>
                        </w:rPr>
                        <w:t xml:space="preserve"> (</w:t>
                      </w:r>
                      <w:r w:rsidR="008F7515">
                        <w:rPr>
                          <w:sz w:val="24"/>
                          <w:szCs w:val="24"/>
                          <w:lang w:val="en-US"/>
                        </w:rPr>
                        <w:t>1</w:t>
                      </w:r>
                      <w:r>
                        <w:rPr>
                          <w:sz w:val="24"/>
                          <w:szCs w:val="24"/>
                          <w:lang w:val="en-US"/>
                        </w:rPr>
                        <w:t xml:space="preserve">) </w:t>
                      </w:r>
                      <w:proofErr w:type="gramStart"/>
                      <w:r>
                        <w:rPr>
                          <w:sz w:val="24"/>
                          <w:szCs w:val="24"/>
                          <w:lang w:val="en-US"/>
                        </w:rPr>
                        <w:t>20</w:t>
                      </w:r>
                      <w:r w:rsidR="008F7515">
                        <w:rPr>
                          <w:sz w:val="24"/>
                          <w:szCs w:val="24"/>
                          <w:lang w:val="en-US"/>
                        </w:rPr>
                        <w:t>26</w:t>
                      </w:r>
                      <w:r>
                        <w:rPr>
                          <w:sz w:val="24"/>
                          <w:szCs w:val="24"/>
                          <w:lang w:val="en-US"/>
                        </w:rPr>
                        <w:t xml:space="preserve">,  </w:t>
                      </w:r>
                      <w:r w:rsidR="008459C0">
                        <w:rPr>
                          <w:sz w:val="24"/>
                          <w:szCs w:val="24"/>
                          <w:lang w:val="en-US"/>
                        </w:rPr>
                        <w:t>10</w:t>
                      </w:r>
                      <w:proofErr w:type="gramEnd"/>
                      <w:r>
                        <w:rPr>
                          <w:sz w:val="24"/>
                          <w:szCs w:val="24"/>
                          <w:lang w:val="en-US"/>
                        </w:rPr>
                        <w:t>-</w:t>
                      </w:r>
                      <w:r w:rsidR="008F7515">
                        <w:rPr>
                          <w:sz w:val="24"/>
                          <w:szCs w:val="24"/>
                          <w:lang w:val="en-US"/>
                        </w:rPr>
                        <w:t>1</w:t>
                      </w:r>
                      <w:r w:rsidR="008459C0">
                        <w:rPr>
                          <w:sz w:val="24"/>
                          <w:szCs w:val="24"/>
                          <w:lang w:val="en-US"/>
                        </w:rPr>
                        <w:t>5</w:t>
                      </w:r>
                    </w:p>
                    <w:p w14:paraId="1E1E515B" w14:textId="77777777" w:rsidR="00660273" w:rsidRDefault="00660273">
                      <w:pPr>
                        <w:jc w:val="center"/>
                        <w:rPr>
                          <w:rFonts w:ascii="Arial Black" w:hAnsi="Arial Black"/>
                          <w:color w:val="000000" w:themeColor="text1"/>
                          <w:sz w:val="24"/>
                          <w:szCs w:val="24"/>
                        </w:rPr>
                      </w:pPr>
                    </w:p>
                  </w:txbxContent>
                </v:textbox>
              </v:shape>
            </w:pict>
          </mc:Fallback>
        </mc:AlternateContent>
      </w:r>
    </w:p>
    <w:p w14:paraId="072FE1A5" w14:textId="77777777" w:rsidR="00660273" w:rsidRDefault="00660273">
      <w:pPr>
        <w:rPr>
          <w:sz w:val="24"/>
          <w:szCs w:val="24"/>
        </w:rPr>
      </w:pPr>
    </w:p>
    <w:p w14:paraId="52F01C1B" w14:textId="77777777" w:rsidR="00660273" w:rsidRDefault="00660273">
      <w:pPr>
        <w:rPr>
          <w:sz w:val="24"/>
          <w:szCs w:val="24"/>
        </w:rPr>
      </w:pPr>
    </w:p>
    <w:p w14:paraId="6073153E" w14:textId="77777777" w:rsidR="00660273" w:rsidRDefault="00660273">
      <w:pPr>
        <w:rPr>
          <w:sz w:val="24"/>
          <w:szCs w:val="24"/>
        </w:rPr>
      </w:pPr>
    </w:p>
    <w:p w14:paraId="3A02D8C5" w14:textId="77777777" w:rsidR="00660273" w:rsidRDefault="00660273">
      <w:pPr>
        <w:rPr>
          <w:sz w:val="24"/>
          <w:szCs w:val="24"/>
        </w:rPr>
      </w:pPr>
    </w:p>
    <w:p w14:paraId="1A42D0F7" w14:textId="77777777" w:rsidR="00660273" w:rsidRDefault="00000000">
      <w:pPr>
        <w:jc w:val="center"/>
        <w:rPr>
          <w:sz w:val="24"/>
          <w:szCs w:val="24"/>
        </w:rPr>
      </w:pPr>
      <w:r>
        <w:rPr>
          <w:noProof/>
          <w:sz w:val="24"/>
          <w:szCs w:val="24"/>
          <w:lang w:val="en-US" w:eastAsia="en-US"/>
        </w:rPr>
        <mc:AlternateContent>
          <mc:Choice Requires="wpg">
            <w:drawing>
              <wp:anchor distT="0" distB="0" distL="114300" distR="114300" simplePos="0" relativeHeight="251660288" behindDoc="1" locked="0" layoutInCell="1" allowOverlap="1" wp14:anchorId="75E5BDC8" wp14:editId="09AE85E0">
                <wp:simplePos x="0" y="0"/>
                <wp:positionH relativeFrom="column">
                  <wp:posOffset>-375285</wp:posOffset>
                </wp:positionH>
                <wp:positionV relativeFrom="paragraph">
                  <wp:posOffset>167005</wp:posOffset>
                </wp:positionV>
                <wp:extent cx="6210300" cy="171450"/>
                <wp:effectExtent l="0" t="0" r="19050" b="0"/>
                <wp:wrapNone/>
                <wp:docPr id="48" name="Group 34"/>
                <wp:cNvGraphicFramePr/>
                <a:graphic xmlns:a="http://schemas.openxmlformats.org/drawingml/2006/main">
                  <a:graphicData uri="http://schemas.microsoft.com/office/word/2010/wordprocessingGroup">
                    <wpg:wgp>
                      <wpg:cNvGrpSpPr/>
                      <wpg:grpSpPr>
                        <a:xfrm>
                          <a:off x="0" y="0"/>
                          <a:ext cx="6210300" cy="171450"/>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ln>
                        </wps:spPr>
                        <wps:bodyPr/>
                      </wps:wsp>
                    </wpg:wgp>
                  </a:graphicData>
                </a:graphic>
              </wp:anchor>
            </w:drawing>
          </mc:Choice>
          <mc:Fallback xmlns:wpsCustomData="http://www.wps.cn/officeDocument/2013/wpsCustomData">
            <w:pict>
              <v:group id="Group 34" o:spid="_x0000_s1026" o:spt="203" style="position:absolute;left:0pt;margin-left:-29.55pt;margin-top:13.15pt;height:13.5pt;width:489pt;z-index:-251656192;mso-width-relative:page;mso-height-relative:page;" coordsize="10082,45" o:gfxdata="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QequfdoAAAAJAQAADwAA&#10;AAAAAAABACAAAAA4AAAAZHJzL2Rvd25yZXYueG1sUEsBAhQAFAAAAAgAh07iQDcK6h03AgAA5AQA&#10;AA4AAAAAAAAAAQAgAAAAPwEAAGRycy9lMm9Eb2MueG1sUEsFBgAAAAAGAAYAWQEAAOgFAAAAAA==&#10;">
                <o:lock v:ext="edit" aspectratio="f"/>
                <v:line id="Line 35" o:spid="_x0000_s1026" o:spt="20" style="position:absolute;left:0;top:23;height:0;width:10082;" filled="f" stroked="t" coordsize="21600,21600" o:gfxdata="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gshuvAAAANsAAAAPAAAAAAAAAAEAIAAAADgAAABkcnMvZG93bnJldi54&#10;bWxQSwECFAAUAAAACACHTuJAMy8FnjsAAAA5AAAAEAAAAAAAAAABACAAAAAhAQAAZHJzL3NoYXBl&#10;eG1sLnhtbFBLBQYAAAAABgAGAFsBAADLAwAAAAA=&#10;">
                  <v:fill on="f" focussize="0,0"/>
                  <v:stroke weight="2.25pt" color="#000000" joinstyle="round"/>
                  <v:imagedata o:title=""/>
                  <o:lock v:ext="edit" aspectratio="f"/>
                </v:line>
              </v:group>
            </w:pict>
          </mc:Fallback>
        </mc:AlternateContent>
      </w:r>
    </w:p>
    <w:p w14:paraId="10574D94" w14:textId="77777777" w:rsidR="00660273" w:rsidRDefault="00660273">
      <w:pPr>
        <w:rPr>
          <w:sz w:val="24"/>
          <w:szCs w:val="24"/>
        </w:rPr>
      </w:pPr>
    </w:p>
    <w:p w14:paraId="0047E2F0" w14:textId="77777777" w:rsidR="00660273" w:rsidRDefault="00660273">
      <w:pPr>
        <w:rPr>
          <w:sz w:val="24"/>
          <w:szCs w:val="24"/>
        </w:rPr>
      </w:pPr>
    </w:p>
    <w:p w14:paraId="60D9BF31" w14:textId="77777777" w:rsidR="00660273" w:rsidRDefault="00000000">
      <w:pPr>
        <w:spacing w:before="70" w:line="249" w:lineRule="auto"/>
        <w:ind w:right="225"/>
        <w:jc w:val="center"/>
        <w:rPr>
          <w:b/>
          <w:w w:val="120"/>
          <w:sz w:val="24"/>
          <w:szCs w:val="24"/>
          <w:lang w:val="id-ID"/>
        </w:rPr>
      </w:pPr>
      <w:r>
        <w:rPr>
          <w:b/>
          <w:w w:val="120"/>
          <w:sz w:val="24"/>
          <w:szCs w:val="24"/>
          <w:lang w:val="en-US"/>
        </w:rPr>
        <w:t xml:space="preserve">The Effect of </w:t>
      </w:r>
      <w:r>
        <w:rPr>
          <w:b/>
          <w:w w:val="120"/>
          <w:sz w:val="24"/>
          <w:szCs w:val="24"/>
        </w:rPr>
        <w:t>Carbon Emissions Disclosure on Investor Reaction</w:t>
      </w:r>
      <w:r>
        <w:rPr>
          <w:b/>
          <w:w w:val="120"/>
          <w:sz w:val="24"/>
          <w:szCs w:val="24"/>
          <w:lang w:val="en-US"/>
        </w:rPr>
        <w:t xml:space="preserve"> </w:t>
      </w:r>
    </w:p>
    <w:p w14:paraId="1C88A8E0" w14:textId="77777777" w:rsidR="00660273" w:rsidRDefault="00660273">
      <w:pPr>
        <w:spacing w:before="70" w:line="249" w:lineRule="auto"/>
        <w:ind w:right="225"/>
        <w:jc w:val="center"/>
        <w:rPr>
          <w:b/>
          <w:sz w:val="24"/>
          <w:szCs w:val="24"/>
          <w:lang w:val="id-ID"/>
        </w:rPr>
      </w:pPr>
    </w:p>
    <w:p w14:paraId="41C354B8" w14:textId="77777777" w:rsidR="00660273" w:rsidRPr="005C1882" w:rsidRDefault="00000000">
      <w:pPr>
        <w:jc w:val="center"/>
        <w:rPr>
          <w:b/>
          <w:sz w:val="24"/>
          <w:szCs w:val="24"/>
          <w:vertAlign w:val="superscript"/>
          <w:lang w:val="en-US"/>
        </w:rPr>
      </w:pPr>
      <w:r w:rsidRPr="005C1882">
        <w:rPr>
          <w:b/>
          <w:sz w:val="24"/>
          <w:szCs w:val="24"/>
        </w:rPr>
        <w:t>Siti Nurul Fathimah</w:t>
      </w:r>
      <w:r w:rsidRPr="005C1882">
        <w:rPr>
          <w:b/>
          <w:sz w:val="24"/>
          <w:szCs w:val="24"/>
          <w:vertAlign w:val="superscript"/>
        </w:rPr>
        <w:t>1</w:t>
      </w:r>
      <w:r w:rsidRPr="005C1882">
        <w:rPr>
          <w:b/>
          <w:sz w:val="24"/>
          <w:szCs w:val="24"/>
          <w:vertAlign w:val="superscript"/>
          <w:lang w:val="en-US"/>
        </w:rPr>
        <w:t>*</w:t>
      </w:r>
    </w:p>
    <w:p w14:paraId="7D95EB49" w14:textId="77777777" w:rsidR="00660273" w:rsidRPr="005C1882" w:rsidRDefault="00000000">
      <w:pPr>
        <w:jc w:val="center"/>
        <w:rPr>
          <w:sz w:val="24"/>
          <w:szCs w:val="24"/>
        </w:rPr>
      </w:pPr>
      <w:r w:rsidRPr="005C1882">
        <w:rPr>
          <w:sz w:val="24"/>
          <w:szCs w:val="24"/>
          <w:vertAlign w:val="superscript"/>
        </w:rPr>
        <w:t>1</w:t>
      </w:r>
      <w:r w:rsidRPr="005C1882">
        <w:rPr>
          <w:sz w:val="24"/>
          <w:szCs w:val="24"/>
        </w:rPr>
        <w:t>Department of Accounting, Pamulang University</w:t>
      </w:r>
    </w:p>
    <w:p w14:paraId="7B70448E" w14:textId="77777777" w:rsidR="00660273" w:rsidRPr="005C1882" w:rsidRDefault="00000000">
      <w:pPr>
        <w:jc w:val="center"/>
        <w:rPr>
          <w:sz w:val="24"/>
          <w:szCs w:val="24"/>
        </w:rPr>
      </w:pPr>
      <w:r w:rsidRPr="005C1882">
        <w:rPr>
          <w:sz w:val="24"/>
          <w:szCs w:val="24"/>
        </w:rPr>
        <w:t>Email:</w:t>
      </w:r>
      <w:r w:rsidRPr="005C1882">
        <w:rPr>
          <w:sz w:val="24"/>
          <w:szCs w:val="24"/>
          <w:vertAlign w:val="superscript"/>
        </w:rPr>
        <w:t>1</w:t>
      </w:r>
      <w:r w:rsidRPr="005C1882">
        <w:rPr>
          <w:sz w:val="24"/>
          <w:szCs w:val="24"/>
          <w:lang w:val="en-US"/>
        </w:rPr>
        <w:t>dosen0</w:t>
      </w:r>
      <w:r w:rsidRPr="005C1882">
        <w:rPr>
          <w:sz w:val="24"/>
          <w:szCs w:val="24"/>
        </w:rPr>
        <w:t>3390</w:t>
      </w:r>
      <w:r w:rsidRPr="005C1882">
        <w:rPr>
          <w:sz w:val="24"/>
          <w:szCs w:val="24"/>
          <w:lang w:val="en-US"/>
        </w:rPr>
        <w:t>@unpam.ac.id</w:t>
      </w:r>
    </w:p>
    <w:p w14:paraId="1D02F14D" w14:textId="77777777" w:rsidR="00660273" w:rsidRDefault="00660273">
      <w:pPr>
        <w:spacing w:before="8"/>
        <w:jc w:val="center"/>
        <w:rPr>
          <w:i/>
          <w:w w:val="115"/>
          <w:sz w:val="24"/>
          <w:szCs w:val="24"/>
        </w:rPr>
      </w:pPr>
    </w:p>
    <w:p w14:paraId="14EFD83D" w14:textId="03C40C69" w:rsidR="00660273" w:rsidRPr="008F7515" w:rsidRDefault="00000000">
      <w:pPr>
        <w:spacing w:before="120" w:after="120"/>
        <w:jc w:val="center"/>
        <w:rPr>
          <w:b/>
          <w:sz w:val="20"/>
          <w:szCs w:val="20"/>
        </w:rPr>
      </w:pPr>
      <w:r w:rsidRPr="008F7515">
        <w:rPr>
          <w:b/>
          <w:sz w:val="20"/>
          <w:szCs w:val="20"/>
        </w:rPr>
        <w:t>Article History: Received on</w:t>
      </w:r>
      <w:r w:rsidR="008F7515" w:rsidRPr="008F7515">
        <w:rPr>
          <w:b/>
          <w:sz w:val="20"/>
          <w:szCs w:val="20"/>
        </w:rPr>
        <w:t xml:space="preserve"> 13 January 2026</w:t>
      </w:r>
      <w:r w:rsidRPr="008F7515">
        <w:rPr>
          <w:b/>
          <w:sz w:val="20"/>
          <w:szCs w:val="20"/>
        </w:rPr>
        <w:t>, Revised on</w:t>
      </w:r>
      <w:r w:rsidR="008F7515" w:rsidRPr="008F7515">
        <w:rPr>
          <w:b/>
          <w:sz w:val="20"/>
          <w:szCs w:val="20"/>
        </w:rPr>
        <w:t xml:space="preserve"> 23 January 2026</w:t>
      </w:r>
      <w:r w:rsidRPr="008F7515">
        <w:rPr>
          <w:b/>
          <w:sz w:val="20"/>
          <w:szCs w:val="20"/>
        </w:rPr>
        <w:t>, Published on</w:t>
      </w:r>
      <w:r w:rsidR="008F7515" w:rsidRPr="008F7515">
        <w:rPr>
          <w:b/>
          <w:sz w:val="20"/>
          <w:szCs w:val="20"/>
        </w:rPr>
        <w:t xml:space="preserve"> 30 January 2026</w:t>
      </w:r>
    </w:p>
    <w:p w14:paraId="504757A7" w14:textId="77777777" w:rsidR="00660273" w:rsidRDefault="00660273">
      <w:pPr>
        <w:spacing w:before="8"/>
        <w:jc w:val="center"/>
        <w:rPr>
          <w:w w:val="115"/>
          <w:sz w:val="24"/>
          <w:szCs w:val="24"/>
        </w:rPr>
      </w:pPr>
    </w:p>
    <w:p w14:paraId="5BFA840C" w14:textId="77777777" w:rsidR="00660273" w:rsidRDefault="00660273">
      <w:pPr>
        <w:spacing w:before="8"/>
        <w:jc w:val="center"/>
        <w:rPr>
          <w:b/>
          <w:i/>
          <w:w w:val="115"/>
          <w:sz w:val="24"/>
          <w:szCs w:val="24"/>
          <w:lang w:val="en-US"/>
        </w:rPr>
      </w:pPr>
    </w:p>
    <w:p w14:paraId="34A8AD28" w14:textId="77777777" w:rsidR="00660273" w:rsidRDefault="00000000">
      <w:pPr>
        <w:spacing w:before="8"/>
        <w:jc w:val="center"/>
        <w:rPr>
          <w:b/>
          <w:i/>
          <w:w w:val="115"/>
          <w:sz w:val="24"/>
          <w:szCs w:val="24"/>
          <w:lang w:val="en-US"/>
        </w:rPr>
      </w:pPr>
      <w:r>
        <w:rPr>
          <w:b/>
          <w:i/>
          <w:w w:val="115"/>
          <w:sz w:val="24"/>
          <w:szCs w:val="24"/>
          <w:lang w:val="en-US"/>
        </w:rPr>
        <w:t>ABSTRACT</w:t>
      </w:r>
    </w:p>
    <w:p w14:paraId="4607A77B" w14:textId="77777777" w:rsidR="00660273" w:rsidRDefault="00660273">
      <w:pPr>
        <w:spacing w:before="8"/>
        <w:jc w:val="center"/>
        <w:rPr>
          <w:i/>
          <w:w w:val="115"/>
          <w:sz w:val="24"/>
          <w:szCs w:val="24"/>
          <w:lang w:val="en-US"/>
        </w:rPr>
      </w:pPr>
    </w:p>
    <w:p w14:paraId="2EB0EC42" w14:textId="77777777" w:rsidR="00660273" w:rsidRPr="005C1882" w:rsidRDefault="00000000">
      <w:pPr>
        <w:spacing w:before="8"/>
        <w:jc w:val="both"/>
        <w:rPr>
          <w:i/>
          <w:iCs/>
          <w:color w:val="000000"/>
          <w:sz w:val="24"/>
          <w:szCs w:val="24"/>
          <w:lang w:val="en-US"/>
        </w:rPr>
      </w:pPr>
      <w:r w:rsidRPr="005C1882">
        <w:rPr>
          <w:i/>
          <w:iCs/>
          <w:color w:val="000000"/>
          <w:sz w:val="24"/>
          <w:szCs w:val="24"/>
          <w:lang w:val="en-US"/>
        </w:rPr>
        <w:t xml:space="preserve">This study aims to examine the effect of </w:t>
      </w:r>
      <w:r w:rsidRPr="005C1882">
        <w:rPr>
          <w:i/>
          <w:iCs/>
          <w:color w:val="000000"/>
          <w:sz w:val="24"/>
          <w:szCs w:val="24"/>
        </w:rPr>
        <w:t>Carbon Emissions Disclosure on Investor Reaction</w:t>
      </w:r>
      <w:r w:rsidRPr="005C1882">
        <w:rPr>
          <w:i/>
          <w:iCs/>
          <w:color w:val="000000"/>
          <w:sz w:val="24"/>
          <w:szCs w:val="24"/>
          <w:lang w:val="en-US"/>
        </w:rPr>
        <w:t xml:space="preserve">. </w:t>
      </w:r>
      <w:r w:rsidRPr="005C1882">
        <w:rPr>
          <w:i/>
          <w:iCs/>
          <w:color w:val="000000"/>
          <w:sz w:val="24"/>
          <w:szCs w:val="24"/>
        </w:rPr>
        <w:t>Investor Reaction</w:t>
      </w:r>
      <w:r w:rsidRPr="005C1882">
        <w:rPr>
          <w:i/>
          <w:iCs/>
          <w:color w:val="000000"/>
          <w:sz w:val="24"/>
          <w:szCs w:val="24"/>
          <w:lang w:val="en-US"/>
        </w:rPr>
        <w:t xml:space="preserve"> is measured using</w:t>
      </w:r>
      <w:r w:rsidRPr="005C1882">
        <w:rPr>
          <w:i/>
          <w:iCs/>
          <w:color w:val="000000"/>
          <w:sz w:val="24"/>
          <w:szCs w:val="24"/>
        </w:rPr>
        <w:t xml:space="preserve"> Cumulative Abnormal Return</w:t>
      </w:r>
      <w:r w:rsidRPr="005C1882">
        <w:rPr>
          <w:i/>
          <w:iCs/>
          <w:color w:val="000000"/>
          <w:sz w:val="24"/>
          <w:szCs w:val="24"/>
          <w:lang w:val="en-US"/>
        </w:rPr>
        <w:t xml:space="preserve"> and 5 (five) items from the Global Reporting Initiative (GRI) 305: Emissions 2016 as part of the 300 series (environmental aspects) of GRI Standards</w:t>
      </w:r>
      <w:r w:rsidRPr="005C1882">
        <w:rPr>
          <w:i/>
          <w:iCs/>
          <w:color w:val="000000"/>
          <w:sz w:val="24"/>
          <w:szCs w:val="24"/>
        </w:rPr>
        <w:t xml:space="preserve"> </w:t>
      </w:r>
      <w:r w:rsidRPr="005C1882">
        <w:rPr>
          <w:i/>
          <w:iCs/>
          <w:color w:val="000000"/>
          <w:sz w:val="24"/>
          <w:szCs w:val="24"/>
          <w:lang w:val="en-US"/>
        </w:rPr>
        <w:t xml:space="preserve">for </w:t>
      </w:r>
      <w:r w:rsidRPr="005C1882">
        <w:rPr>
          <w:i/>
          <w:iCs/>
          <w:color w:val="000000"/>
          <w:sz w:val="24"/>
          <w:szCs w:val="24"/>
        </w:rPr>
        <w:t>Carbon Emissions Disclosure</w:t>
      </w:r>
      <w:r w:rsidRPr="005C1882">
        <w:rPr>
          <w:i/>
          <w:iCs/>
          <w:color w:val="000000"/>
          <w:sz w:val="24"/>
          <w:szCs w:val="24"/>
          <w:lang w:val="en-US"/>
        </w:rPr>
        <w:t>. The research sample consist of 1</w:t>
      </w:r>
      <w:r w:rsidRPr="005C1882">
        <w:rPr>
          <w:i/>
          <w:iCs/>
          <w:color w:val="000000"/>
          <w:sz w:val="24"/>
          <w:szCs w:val="24"/>
        </w:rPr>
        <w:t>23</w:t>
      </w:r>
      <w:r w:rsidRPr="005C1882">
        <w:rPr>
          <w:i/>
          <w:iCs/>
          <w:color w:val="000000"/>
          <w:sz w:val="24"/>
          <w:szCs w:val="24"/>
          <w:lang w:val="en-US"/>
        </w:rPr>
        <w:t xml:space="preserve"> non-financial sector companies listed on the Indonesia Stock Exchange (IDX) for the 202</w:t>
      </w:r>
      <w:r w:rsidRPr="005C1882">
        <w:rPr>
          <w:i/>
          <w:iCs/>
          <w:color w:val="000000"/>
          <w:sz w:val="24"/>
          <w:szCs w:val="24"/>
        </w:rPr>
        <w:t>2</w:t>
      </w:r>
      <w:r w:rsidRPr="005C1882">
        <w:rPr>
          <w:i/>
          <w:iCs/>
          <w:color w:val="000000"/>
          <w:sz w:val="24"/>
          <w:szCs w:val="24"/>
          <w:lang w:val="en-US"/>
        </w:rPr>
        <w:t>-202</w:t>
      </w:r>
      <w:r w:rsidRPr="005C1882">
        <w:rPr>
          <w:i/>
          <w:iCs/>
          <w:color w:val="000000"/>
          <w:sz w:val="24"/>
          <w:szCs w:val="24"/>
        </w:rPr>
        <w:t>4</w:t>
      </w:r>
      <w:r w:rsidRPr="005C1882">
        <w:rPr>
          <w:i/>
          <w:iCs/>
          <w:color w:val="000000"/>
          <w:sz w:val="24"/>
          <w:szCs w:val="24"/>
          <w:lang w:val="en-US"/>
        </w:rPr>
        <w:t xml:space="preserve"> period, selected through purposive sampling. The analytical method used is panel data </w:t>
      </w:r>
      <w:proofErr w:type="spellStart"/>
      <w:r w:rsidRPr="005C1882">
        <w:rPr>
          <w:i/>
          <w:iCs/>
          <w:color w:val="000000"/>
          <w:sz w:val="24"/>
          <w:szCs w:val="24"/>
          <w:lang w:val="en-US"/>
        </w:rPr>
        <w:t>regresion</w:t>
      </w:r>
      <w:proofErr w:type="spellEnd"/>
      <w:r w:rsidRPr="005C1882">
        <w:rPr>
          <w:i/>
          <w:iCs/>
          <w:color w:val="000000"/>
          <w:sz w:val="24"/>
          <w:szCs w:val="24"/>
          <w:lang w:val="en-US"/>
        </w:rPr>
        <w:t xml:space="preserve"> which was processed using </w:t>
      </w:r>
      <w:proofErr w:type="spellStart"/>
      <w:r w:rsidRPr="005C1882">
        <w:rPr>
          <w:i/>
          <w:iCs/>
          <w:color w:val="000000"/>
          <w:sz w:val="24"/>
          <w:szCs w:val="24"/>
          <w:lang w:val="en-US"/>
        </w:rPr>
        <w:t>Eviews</w:t>
      </w:r>
      <w:proofErr w:type="spellEnd"/>
      <w:r w:rsidRPr="005C1882">
        <w:rPr>
          <w:i/>
          <w:iCs/>
          <w:color w:val="000000"/>
          <w:sz w:val="24"/>
          <w:szCs w:val="24"/>
          <w:lang w:val="en-US"/>
        </w:rPr>
        <w:t xml:space="preserve"> 12. The results of this study indicate that Carbon Emissions Disclosure has a significant effect on Investor Reaction</w:t>
      </w:r>
      <w:r w:rsidRPr="005C1882">
        <w:rPr>
          <w:i/>
          <w:iCs/>
          <w:color w:val="000000"/>
          <w:sz w:val="24"/>
          <w:szCs w:val="24"/>
        </w:rPr>
        <w:t>.</w:t>
      </w:r>
    </w:p>
    <w:p w14:paraId="546459E5" w14:textId="77777777" w:rsidR="00660273" w:rsidRPr="00193708" w:rsidRDefault="00660273">
      <w:pPr>
        <w:spacing w:before="35" w:after="39" w:line="252" w:lineRule="auto"/>
        <w:ind w:right="174"/>
        <w:rPr>
          <w:i/>
          <w:iCs/>
          <w:color w:val="000000"/>
        </w:rPr>
      </w:pPr>
    </w:p>
    <w:p w14:paraId="28D98FB1" w14:textId="77777777" w:rsidR="00660273" w:rsidRPr="005C1882" w:rsidRDefault="00000000">
      <w:pPr>
        <w:pStyle w:val="Default"/>
        <w:sectPr w:rsidR="00660273" w:rsidRPr="005C1882" w:rsidSect="00667172">
          <w:footerReference w:type="default" r:id="rId11"/>
          <w:type w:val="continuous"/>
          <w:pgSz w:w="11910" w:h="16840"/>
          <w:pgMar w:top="567" w:right="1134" w:bottom="1701" w:left="1701" w:header="720" w:footer="720" w:gutter="0"/>
          <w:pgNumType w:start="10"/>
          <w:cols w:space="720"/>
        </w:sectPr>
      </w:pPr>
      <w:r w:rsidRPr="005C1882">
        <w:rPr>
          <w:i/>
          <w:iCs/>
        </w:rPr>
        <w:t xml:space="preserve">Keywords: </w:t>
      </w:r>
      <w:r w:rsidRPr="005C1882">
        <w:rPr>
          <w:i/>
          <w:iCs/>
          <w:color w:val="auto"/>
        </w:rPr>
        <w:t>Carbon Emissions Disclosure, Investor Reaction, Climate Change</w:t>
      </w:r>
    </w:p>
    <w:p w14:paraId="3D6A498D" w14:textId="77777777" w:rsidR="00660273" w:rsidRPr="00667172" w:rsidRDefault="00000000">
      <w:pPr>
        <w:pStyle w:val="Heading1"/>
        <w:ind w:left="0"/>
        <w:rPr>
          <w:w w:val="115"/>
        </w:rPr>
      </w:pPr>
      <w:r w:rsidRPr="00667172">
        <w:rPr>
          <w:w w:val="110"/>
          <w:lang w:val="en-US"/>
        </w:rPr>
        <w:lastRenderedPageBreak/>
        <w:t>Introduction</w:t>
      </w:r>
    </w:p>
    <w:p w14:paraId="31946E4E" w14:textId="77777777" w:rsidR="00660273" w:rsidRPr="00667172" w:rsidRDefault="00000000">
      <w:pPr>
        <w:spacing w:before="40" w:after="40"/>
        <w:ind w:right="225" w:firstLine="720"/>
        <w:jc w:val="both"/>
        <w:rPr>
          <w:color w:val="000000" w:themeColor="text1"/>
          <w:lang w:val="en-US"/>
        </w:rPr>
      </w:pPr>
      <w:r w:rsidRPr="00667172">
        <w:rPr>
          <w:color w:val="000000" w:themeColor="text1"/>
          <w:lang w:val="en-US"/>
        </w:rPr>
        <w:t xml:space="preserve">The environmental, social and economic impacts of climate change are increasingly evident and significant. Economic damage due to climate change has been detected in sectors affected by climate change, such as agriculture, forestry, fisheries, energy, and tourism. In the publication of the Global Carbon Project in 2023, Indonesia is ranked as the sixth largest contributor to carbon emission production in the world (Global Carbon Atlas, 2022). </w:t>
      </w:r>
    </w:p>
    <w:p w14:paraId="26587623" w14:textId="77777777" w:rsidR="00660273" w:rsidRPr="00667172" w:rsidRDefault="00000000">
      <w:pPr>
        <w:spacing w:before="40" w:after="40"/>
        <w:ind w:right="225" w:firstLine="720"/>
        <w:jc w:val="both"/>
        <w:rPr>
          <w:color w:val="000000" w:themeColor="text1"/>
        </w:rPr>
      </w:pPr>
      <w:r w:rsidRPr="00667172">
        <w:rPr>
          <w:color w:val="000000" w:themeColor="text1"/>
          <w:lang w:val="en-US"/>
        </w:rPr>
        <w:t>According to the Global Carbon Project report (2023), in 2022 Indonesia produced 729 million tons of carbon dioxide emissions from coal use, oil and gas activities (combustion and industrial processes), gas combustion processes, and cement manufacturing.</w:t>
      </w:r>
      <w:r w:rsidRPr="00667172">
        <w:rPr>
          <w:color w:val="000000" w:themeColor="text1"/>
        </w:rPr>
        <w:t xml:space="preserve"> Carbon dioxide emissions in Indonesia from 1960 to 2024 have continued to increase every year. This urgent phenomenon of climate change has made stakeholders increasingly aware that companies have the primary intention of achieving profits accompanied by an increase in future value.</w:t>
      </w:r>
    </w:p>
    <w:p w14:paraId="2AB8E15A" w14:textId="77777777" w:rsidR="00660273" w:rsidRPr="00667172" w:rsidRDefault="00000000">
      <w:pPr>
        <w:spacing w:before="40" w:after="40"/>
        <w:ind w:right="225" w:firstLine="720"/>
        <w:jc w:val="both"/>
        <w:rPr>
          <w:color w:val="000000" w:themeColor="text1"/>
        </w:rPr>
      </w:pPr>
      <w:r w:rsidRPr="00667172">
        <w:rPr>
          <w:color w:val="000000" w:themeColor="text1"/>
        </w:rPr>
        <w:t>Climate change mitigation efforts by companies are a social and environmental responsibility that every company must fulfill. The hope is that investors will become increasingly interested in investing in green projects and supporting climate change mitigation efforts. Investors need clear information to make decisions regarding their investment activities so that they can obtain returns on their investments.</w:t>
      </w:r>
    </w:p>
    <w:p w14:paraId="11A9FBDC" w14:textId="77777777" w:rsidR="00660273" w:rsidRPr="00667172" w:rsidRDefault="00000000">
      <w:pPr>
        <w:spacing w:before="40" w:after="40"/>
        <w:ind w:right="225" w:firstLine="720"/>
        <w:jc w:val="both"/>
        <w:rPr>
          <w:color w:val="000000" w:themeColor="text1"/>
        </w:rPr>
      </w:pPr>
      <w:r w:rsidRPr="00667172">
        <w:rPr>
          <w:color w:val="000000" w:themeColor="text1"/>
        </w:rPr>
        <w:t>One measure to curb climate change is the disclosure of carbon dioxide emissions, which is used to examine how environmental issues are integrated into corporate strategy (Fernando, 2023). Disclosure of carbon emissions is a manifestation of a company's commitment to monitoring, managing, controlling, measuring, and reporting its environmental performance as part of its environmental management efforts.</w:t>
      </w:r>
    </w:p>
    <w:p w14:paraId="412FE94F" w14:textId="77777777" w:rsidR="00660273" w:rsidRPr="00667172" w:rsidRDefault="00000000">
      <w:pPr>
        <w:spacing w:before="40" w:after="40"/>
        <w:ind w:right="225" w:firstLine="720"/>
        <w:jc w:val="both"/>
        <w:rPr>
          <w:color w:val="000000" w:themeColor="text1"/>
        </w:rPr>
      </w:pPr>
      <w:r w:rsidRPr="00667172">
        <w:rPr>
          <w:color w:val="000000" w:themeColor="text1"/>
        </w:rPr>
        <w:t>Carbon disclosure is a solution that companies can use to reduce their carbon emissions. Based on previous research, companies voluntarily disclose carbon data to gain legitimacy and meet stakeholder demands, or to demonstrate to third parties their commitment to actual carbon reduction (Zuhrufiyah &amp; Anggraeni, 2019).</w:t>
      </w:r>
    </w:p>
    <w:p w14:paraId="661652FD" w14:textId="77777777" w:rsidR="00660273" w:rsidRPr="00667172" w:rsidRDefault="00660273">
      <w:pPr>
        <w:spacing w:before="40" w:after="40"/>
        <w:ind w:right="225"/>
        <w:jc w:val="both"/>
        <w:rPr>
          <w:color w:val="000000" w:themeColor="text1"/>
          <w:lang w:val="id-ID"/>
        </w:rPr>
      </w:pPr>
    </w:p>
    <w:p w14:paraId="017AA535" w14:textId="77777777" w:rsidR="00660273" w:rsidRPr="00667172" w:rsidRDefault="00000000">
      <w:pPr>
        <w:pStyle w:val="Heading1"/>
        <w:ind w:left="0"/>
        <w:rPr>
          <w:b w:val="0"/>
          <w:color w:val="000000" w:themeColor="text1"/>
          <w:lang w:val="en-US"/>
        </w:rPr>
      </w:pPr>
      <w:r w:rsidRPr="00667172">
        <w:rPr>
          <w:color w:val="000000" w:themeColor="text1"/>
          <w:lang w:val="en-US"/>
        </w:rPr>
        <w:t>Theoretical Background</w:t>
      </w:r>
    </w:p>
    <w:p w14:paraId="592087F1" w14:textId="77777777" w:rsidR="00660273" w:rsidRPr="00667172" w:rsidRDefault="00000000">
      <w:pPr>
        <w:spacing w:before="40" w:after="40"/>
        <w:ind w:right="225" w:firstLine="720"/>
        <w:jc w:val="both"/>
        <w:rPr>
          <w:color w:val="000000" w:themeColor="text1"/>
          <w:lang w:val="en-US"/>
        </w:rPr>
      </w:pPr>
      <w:r w:rsidRPr="00667172">
        <w:rPr>
          <w:color w:val="000000" w:themeColor="text1"/>
          <w:lang w:val="en-US"/>
        </w:rPr>
        <w:t>Legitimacy theory is one of the most mentioned theories in the field of social and environmental accounting (</w:t>
      </w:r>
      <w:proofErr w:type="spellStart"/>
      <w:r w:rsidRPr="00667172">
        <w:rPr>
          <w:color w:val="000000" w:themeColor="text1"/>
          <w:lang w:val="en-US"/>
        </w:rPr>
        <w:t>Yatie</w:t>
      </w:r>
      <w:proofErr w:type="spellEnd"/>
      <w:r w:rsidRPr="00667172">
        <w:rPr>
          <w:color w:val="000000" w:themeColor="text1"/>
          <w:lang w:val="en-US"/>
        </w:rPr>
        <w:t xml:space="preserve"> &amp; </w:t>
      </w:r>
      <w:proofErr w:type="spellStart"/>
      <w:r w:rsidRPr="00667172">
        <w:rPr>
          <w:color w:val="000000" w:themeColor="text1"/>
          <w:lang w:val="en-US"/>
        </w:rPr>
        <w:t>Tandika</w:t>
      </w:r>
      <w:proofErr w:type="spellEnd"/>
      <w:r w:rsidRPr="00667172">
        <w:rPr>
          <w:color w:val="000000" w:themeColor="text1"/>
          <w:lang w:val="en-US"/>
        </w:rPr>
        <w:t xml:space="preserve">, 2019). The disclosure mechanism of carbon emissions and green investment is a practice of corporate responsibility to society environmentally. This is in line with legitimacy theory which explains that companies must carry out activities in accordance with the limits and norms of society. </w:t>
      </w:r>
      <w:proofErr w:type="gramStart"/>
      <w:r w:rsidRPr="00667172">
        <w:rPr>
          <w:color w:val="000000" w:themeColor="text1"/>
          <w:lang w:val="en-US"/>
        </w:rPr>
        <w:t>Likewise</w:t>
      </w:r>
      <w:proofErr w:type="gramEnd"/>
      <w:r w:rsidRPr="00667172">
        <w:rPr>
          <w:color w:val="000000" w:themeColor="text1"/>
          <w:lang w:val="en-US"/>
        </w:rPr>
        <w:t xml:space="preserve"> </w:t>
      </w:r>
      <w:proofErr w:type="spellStart"/>
      <w:r w:rsidRPr="00667172">
        <w:rPr>
          <w:color w:val="000000" w:themeColor="text1"/>
          <w:lang w:val="en-US"/>
        </w:rPr>
        <w:t>Ladista</w:t>
      </w:r>
      <w:proofErr w:type="spellEnd"/>
      <w:r w:rsidRPr="00667172">
        <w:rPr>
          <w:color w:val="000000" w:themeColor="text1"/>
          <w:lang w:val="en-US"/>
        </w:rPr>
        <w:t xml:space="preserve"> et al. (2023) and Ramadhani &amp; Astuti (2023) state that legitimacy theory has been used in accounting studies to develop a theory of corporate responsibility disclosure on the environment to help companies improve their reputation.</w:t>
      </w:r>
    </w:p>
    <w:p w14:paraId="500C1067" w14:textId="77777777" w:rsidR="00660273" w:rsidRPr="00667172" w:rsidRDefault="00000000">
      <w:pPr>
        <w:spacing w:before="40" w:after="40"/>
        <w:ind w:right="225" w:firstLine="720"/>
        <w:jc w:val="both"/>
        <w:rPr>
          <w:color w:val="000000" w:themeColor="text1"/>
          <w:lang w:val="en-US"/>
        </w:rPr>
      </w:pPr>
      <w:r w:rsidRPr="00667172">
        <w:rPr>
          <w:color w:val="000000" w:themeColor="text1"/>
          <w:lang w:val="en-US"/>
        </w:rPr>
        <w:t>Investor reaction is a description of positive and negative reactions to a company (</w:t>
      </w:r>
      <w:proofErr w:type="spellStart"/>
      <w:r w:rsidRPr="00667172">
        <w:rPr>
          <w:color w:val="000000" w:themeColor="text1"/>
          <w:lang w:val="en-US"/>
        </w:rPr>
        <w:t>Daromes</w:t>
      </w:r>
      <w:proofErr w:type="spellEnd"/>
      <w:r w:rsidRPr="00667172">
        <w:rPr>
          <w:color w:val="000000" w:themeColor="text1"/>
          <w:lang w:val="en-US"/>
        </w:rPr>
        <w:t xml:space="preserve"> &amp; </w:t>
      </w:r>
      <w:proofErr w:type="spellStart"/>
      <w:r w:rsidRPr="00667172">
        <w:rPr>
          <w:color w:val="000000" w:themeColor="text1"/>
          <w:lang w:val="en-US"/>
        </w:rPr>
        <w:t>Kawilarang</w:t>
      </w:r>
      <w:proofErr w:type="spellEnd"/>
      <w:r w:rsidRPr="00667172">
        <w:rPr>
          <w:color w:val="000000" w:themeColor="text1"/>
          <w:lang w:val="en-US"/>
        </w:rPr>
        <w:t>, 2020). The best estimate of a security's return is made at the time the event occurs.</w:t>
      </w:r>
      <w:r w:rsidRPr="00667172">
        <w:rPr>
          <w:color w:val="000000" w:themeColor="text1"/>
        </w:rPr>
        <w:t xml:space="preserve"> The proxy used in this study is in line with the previous study by Asyari &amp; Hernawati (2023), where investor reactions are measured using Cumulative Abnormal Return (CAR) with the Market Adjusted Model method. CAR (Cumulative Abnormal Return) is the total of abnormal returns from each issuing company</w:t>
      </w:r>
      <w:r w:rsidRPr="00667172">
        <w:rPr>
          <w:color w:val="000000" w:themeColor="text1"/>
          <w:lang w:val="en-US"/>
        </w:rPr>
        <w:t xml:space="preserve">, as follows: </w:t>
      </w:r>
    </w:p>
    <w:p w14:paraId="79DE1B47" w14:textId="77777777" w:rsidR="00660273" w:rsidRDefault="00000000">
      <w:pPr>
        <w:pStyle w:val="ListParagraph"/>
        <w:spacing w:line="480" w:lineRule="auto"/>
        <w:ind w:left="567"/>
        <w:jc w:val="both"/>
        <w:rPr>
          <w:sz w:val="24"/>
          <w:szCs w:val="24"/>
        </w:rPr>
      </w:pPr>
      <w:r>
        <w:rPr>
          <w:color w:val="000000" w:themeColor="text1"/>
          <w:sz w:val="24"/>
          <w:szCs w:val="24"/>
          <w:lang w:val="en-US"/>
        </w:rPr>
        <w:tab/>
      </w:r>
      <w:r>
        <w:rPr>
          <w:color w:val="000000" w:themeColor="text1"/>
          <w:sz w:val="24"/>
          <w:szCs w:val="24"/>
          <w:lang w:val="en-US"/>
        </w:rPr>
        <w:tab/>
      </w:r>
      <w:r>
        <w:rPr>
          <w:color w:val="000000" w:themeColor="text1"/>
          <w:sz w:val="24"/>
          <w:szCs w:val="24"/>
          <w:lang w:val="en-US"/>
        </w:rPr>
        <w:tab/>
      </w:r>
      <w:r>
        <w:rPr>
          <w:color w:val="000000" w:themeColor="text1"/>
          <w:sz w:val="24"/>
          <w:szCs w:val="24"/>
        </w:rPr>
        <w:tab/>
      </w:r>
      <m:oMath>
        <m:r>
          <w:rPr>
            <w:rFonts w:ascii="Cambria Math" w:hAnsi="Cambria Math"/>
            <w:sz w:val="24"/>
            <w:szCs w:val="24"/>
          </w:rPr>
          <m:t xml:space="preserve">CARit= </m:t>
        </m:r>
        <m:nary>
          <m:naryPr>
            <m:chr m:val="∑"/>
            <m:limLoc m:val="undOvr"/>
            <m:ctrlPr>
              <w:rPr>
                <w:rFonts w:ascii="Cambria Math" w:hAnsi="Cambria Math"/>
                <w:i/>
                <w:sz w:val="24"/>
                <w:szCs w:val="24"/>
              </w:rPr>
            </m:ctrlPr>
          </m:naryPr>
          <m:sub>
            <m:r>
              <w:rPr>
                <w:rFonts w:ascii="Cambria Math" w:hAnsi="Cambria Math"/>
                <w:sz w:val="24"/>
                <w:szCs w:val="24"/>
              </w:rPr>
              <m:t>t=-n</m:t>
            </m:r>
          </m:sub>
          <m:sup>
            <m:r>
              <w:rPr>
                <w:rFonts w:ascii="Cambria Math" w:hAnsi="Cambria Math"/>
                <w:sz w:val="24"/>
                <w:szCs w:val="24"/>
              </w:rPr>
              <m:t>t= +n</m:t>
            </m:r>
          </m:sup>
          <m:e>
            <m:r>
              <w:rPr>
                <w:rFonts w:ascii="Cambria Math" w:hAnsi="Cambria Math"/>
                <w:sz w:val="24"/>
                <w:szCs w:val="24"/>
              </w:rPr>
              <m:t>ARit</m:t>
            </m:r>
          </m:e>
        </m:nary>
      </m:oMath>
    </w:p>
    <w:p w14:paraId="58C96728" w14:textId="77777777" w:rsidR="00660273" w:rsidRPr="00667172" w:rsidRDefault="00000000">
      <w:pPr>
        <w:spacing w:before="40" w:after="40"/>
        <w:ind w:right="225" w:firstLine="720"/>
        <w:jc w:val="both"/>
        <w:rPr>
          <w:color w:val="000000" w:themeColor="text1"/>
        </w:rPr>
      </w:pPr>
      <w:r w:rsidRPr="00667172">
        <w:rPr>
          <w:color w:val="000000" w:themeColor="text1"/>
          <w:lang w:val="en-US"/>
        </w:rPr>
        <w:t xml:space="preserve">Carbon emissions disclosure is a form of corporate social responsibility that is presented in annual reports and Sustainable Development reports. In this study, carbon emissions disclosure was measured using content analysis that identified documents and texts and quantified the content using disclosure items from the study by </w:t>
      </w:r>
      <w:proofErr w:type="spellStart"/>
      <w:r w:rsidRPr="00667172">
        <w:rPr>
          <w:color w:val="000000" w:themeColor="text1"/>
          <w:lang w:val="en-US"/>
        </w:rPr>
        <w:t>Kurnia</w:t>
      </w:r>
      <w:proofErr w:type="spellEnd"/>
      <w:r w:rsidRPr="00667172">
        <w:rPr>
          <w:color w:val="000000" w:themeColor="text1"/>
          <w:lang w:val="en-US"/>
        </w:rPr>
        <w:t xml:space="preserve"> et al. (2020), namely five items from the Global Reporting Initiative (GRI) 305: Emissions 2016 as part of the GRI Standards 300 series (environmental aspects)</w:t>
      </w:r>
      <w:r w:rsidRPr="00667172">
        <w:rPr>
          <w:color w:val="000000" w:themeColor="text1"/>
        </w:rPr>
        <w:t xml:space="preserve">. </w:t>
      </w:r>
    </w:p>
    <w:p w14:paraId="418746D1" w14:textId="77777777" w:rsidR="00660273" w:rsidRPr="00667172" w:rsidRDefault="00000000">
      <w:pPr>
        <w:spacing w:before="40" w:after="40"/>
        <w:ind w:right="225" w:firstLine="720"/>
        <w:jc w:val="both"/>
        <w:rPr>
          <w:color w:val="000000" w:themeColor="text1"/>
        </w:rPr>
      </w:pPr>
      <w:r w:rsidRPr="00667172">
        <w:rPr>
          <w:color w:val="000000" w:themeColor="text1"/>
        </w:rPr>
        <w:t xml:space="preserve">Direct GHG emissions disclosures (305-1) present direct GHG emissions from major sources that generate GHG emissions, indirect GHG emissions disclosures (305-2), other indirect GHG energy emissions disclosures (305-3), GHG emissions intensity disclosures (305-4) present GHG </w:t>
      </w:r>
      <w:r w:rsidRPr="00667172">
        <w:rPr>
          <w:color w:val="000000" w:themeColor="text1"/>
        </w:rPr>
        <w:lastRenderedPageBreak/>
        <w:t>emissions intensity per unit of production or per unit of energy used, and GHG emissions reduction disclosures (305-5), present measures taken to reduce GHG emissions, such as carbon storage, fuel switching, and behavior change.</w:t>
      </w:r>
    </w:p>
    <w:p w14:paraId="7DB49F3B" w14:textId="77777777" w:rsidR="00660273" w:rsidRPr="00667172" w:rsidRDefault="00000000">
      <w:pPr>
        <w:spacing w:before="40" w:after="40"/>
        <w:ind w:right="225" w:firstLine="720"/>
        <w:jc w:val="both"/>
        <w:rPr>
          <w:color w:val="000000" w:themeColor="text1"/>
        </w:rPr>
      </w:pPr>
      <w:r w:rsidRPr="00667172">
        <w:rPr>
          <w:color w:val="000000" w:themeColor="text1"/>
        </w:rPr>
        <w:t>The scoring in the study is only based on disclosure items, but in this study using a disclosure scale. The scoring of the quantity of carbon emission disclosure in this study adapts Gunawan &amp; Abadi (2017), which is as follows:</w:t>
      </w:r>
    </w:p>
    <w:p w14:paraId="154D9C70" w14:textId="77777777" w:rsidR="00660273" w:rsidRPr="00667172" w:rsidRDefault="00000000">
      <w:pPr>
        <w:spacing w:before="40" w:after="40"/>
        <w:ind w:left="1440" w:right="225" w:firstLine="720"/>
        <w:jc w:val="both"/>
        <w:rPr>
          <w:b/>
          <w:bCs/>
          <w:color w:val="000000" w:themeColor="text1"/>
        </w:rPr>
      </w:pPr>
      <w:r w:rsidRPr="00667172">
        <w:rPr>
          <w:b/>
          <w:bCs/>
          <w:color w:val="000000" w:themeColor="text1"/>
        </w:rPr>
        <w:t>Table 1. Carbon Emissions Disclosure Index Score</w:t>
      </w:r>
    </w:p>
    <w:tbl>
      <w:tblPr>
        <w:tblStyle w:val="TableGrid"/>
        <w:tblW w:w="0" w:type="auto"/>
        <w:jc w:val="center"/>
        <w:tblLook w:val="04A0" w:firstRow="1" w:lastRow="0" w:firstColumn="1" w:lastColumn="0" w:noHBand="0" w:noVBand="1"/>
      </w:tblPr>
      <w:tblGrid>
        <w:gridCol w:w="717"/>
        <w:gridCol w:w="5617"/>
      </w:tblGrid>
      <w:tr w:rsidR="00660273" w:rsidRPr="00667172" w14:paraId="3747878B" w14:textId="77777777">
        <w:trPr>
          <w:jc w:val="center"/>
        </w:trPr>
        <w:tc>
          <w:tcPr>
            <w:tcW w:w="0" w:type="auto"/>
            <w:vAlign w:val="center"/>
          </w:tcPr>
          <w:p w14:paraId="5D772DDB" w14:textId="77777777" w:rsidR="00660273" w:rsidRPr="00667172" w:rsidRDefault="00000000">
            <w:pPr>
              <w:jc w:val="center"/>
            </w:pPr>
            <w:r w:rsidRPr="00667172">
              <w:t>Score</w:t>
            </w:r>
          </w:p>
        </w:tc>
        <w:tc>
          <w:tcPr>
            <w:tcW w:w="0" w:type="auto"/>
            <w:vAlign w:val="center"/>
          </w:tcPr>
          <w:p w14:paraId="40271B1A" w14:textId="77777777" w:rsidR="00660273" w:rsidRPr="00667172" w:rsidRDefault="00000000">
            <w:pPr>
              <w:jc w:val="center"/>
            </w:pPr>
            <w:r w:rsidRPr="00667172">
              <w:t>Information</w:t>
            </w:r>
          </w:p>
        </w:tc>
      </w:tr>
      <w:tr w:rsidR="00660273" w:rsidRPr="00667172" w14:paraId="5B12D8C7" w14:textId="77777777">
        <w:trPr>
          <w:jc w:val="center"/>
        </w:trPr>
        <w:tc>
          <w:tcPr>
            <w:tcW w:w="0" w:type="auto"/>
            <w:vAlign w:val="center"/>
          </w:tcPr>
          <w:p w14:paraId="4E27A3D5" w14:textId="77777777" w:rsidR="00660273" w:rsidRPr="00667172" w:rsidRDefault="00000000">
            <w:pPr>
              <w:jc w:val="center"/>
            </w:pPr>
            <w:r w:rsidRPr="00667172">
              <w:t>0</w:t>
            </w:r>
          </w:p>
        </w:tc>
        <w:tc>
          <w:tcPr>
            <w:tcW w:w="0" w:type="auto"/>
            <w:vAlign w:val="center"/>
          </w:tcPr>
          <w:p w14:paraId="61C4EF07" w14:textId="77777777" w:rsidR="00660273" w:rsidRPr="00667172" w:rsidRDefault="00000000">
            <w:pPr>
              <w:jc w:val="center"/>
            </w:pPr>
            <w:r w:rsidRPr="00667172">
              <w:t>No information is disclosed in accordance with the indicators</w:t>
            </w:r>
          </w:p>
        </w:tc>
      </w:tr>
      <w:tr w:rsidR="00660273" w:rsidRPr="00667172" w14:paraId="080CAF7A" w14:textId="77777777">
        <w:trPr>
          <w:jc w:val="center"/>
        </w:trPr>
        <w:tc>
          <w:tcPr>
            <w:tcW w:w="0" w:type="auto"/>
            <w:vAlign w:val="center"/>
          </w:tcPr>
          <w:p w14:paraId="7D132015" w14:textId="77777777" w:rsidR="00660273" w:rsidRPr="00667172" w:rsidRDefault="00000000">
            <w:pPr>
              <w:jc w:val="center"/>
            </w:pPr>
            <w:r w:rsidRPr="00667172">
              <w:t>1</w:t>
            </w:r>
          </w:p>
        </w:tc>
        <w:tc>
          <w:tcPr>
            <w:tcW w:w="0" w:type="auto"/>
            <w:vAlign w:val="center"/>
          </w:tcPr>
          <w:p w14:paraId="61C2C501" w14:textId="77777777" w:rsidR="00660273" w:rsidRPr="00667172" w:rsidRDefault="00000000">
            <w:pPr>
              <w:jc w:val="center"/>
            </w:pPr>
            <w:r w:rsidRPr="00667172">
              <w:t>Sentence</w:t>
            </w:r>
          </w:p>
        </w:tc>
      </w:tr>
      <w:tr w:rsidR="00660273" w:rsidRPr="00667172" w14:paraId="22274389" w14:textId="77777777">
        <w:trPr>
          <w:jc w:val="center"/>
        </w:trPr>
        <w:tc>
          <w:tcPr>
            <w:tcW w:w="0" w:type="auto"/>
            <w:vAlign w:val="center"/>
          </w:tcPr>
          <w:p w14:paraId="69B49550" w14:textId="77777777" w:rsidR="00660273" w:rsidRPr="00667172" w:rsidRDefault="00000000">
            <w:pPr>
              <w:jc w:val="center"/>
            </w:pPr>
            <w:r w:rsidRPr="00667172">
              <w:t>2</w:t>
            </w:r>
          </w:p>
        </w:tc>
        <w:tc>
          <w:tcPr>
            <w:tcW w:w="0" w:type="auto"/>
            <w:vAlign w:val="center"/>
          </w:tcPr>
          <w:p w14:paraId="4FD10E87" w14:textId="77777777" w:rsidR="00660273" w:rsidRPr="00667172" w:rsidRDefault="00000000">
            <w:pPr>
              <w:jc w:val="center"/>
            </w:pPr>
            <w:r w:rsidRPr="00667172">
              <w:t>Paragraph</w:t>
            </w:r>
          </w:p>
        </w:tc>
      </w:tr>
      <w:tr w:rsidR="00660273" w:rsidRPr="00667172" w14:paraId="47CAB4B9" w14:textId="77777777">
        <w:trPr>
          <w:jc w:val="center"/>
        </w:trPr>
        <w:tc>
          <w:tcPr>
            <w:tcW w:w="0" w:type="auto"/>
            <w:vAlign w:val="center"/>
          </w:tcPr>
          <w:p w14:paraId="5756A739" w14:textId="77777777" w:rsidR="00660273" w:rsidRPr="00667172" w:rsidRDefault="00000000">
            <w:pPr>
              <w:jc w:val="center"/>
            </w:pPr>
            <w:r w:rsidRPr="00667172">
              <w:t>3</w:t>
            </w:r>
          </w:p>
        </w:tc>
        <w:tc>
          <w:tcPr>
            <w:tcW w:w="0" w:type="auto"/>
            <w:vAlign w:val="center"/>
          </w:tcPr>
          <w:p w14:paraId="325A2859" w14:textId="77777777" w:rsidR="00660273" w:rsidRPr="00667172" w:rsidRDefault="00000000">
            <w:pPr>
              <w:jc w:val="center"/>
            </w:pPr>
            <w:r w:rsidRPr="00667172">
              <w:t>2-3 paragraphs</w:t>
            </w:r>
          </w:p>
        </w:tc>
      </w:tr>
      <w:tr w:rsidR="00660273" w:rsidRPr="00667172" w14:paraId="6192CB21" w14:textId="77777777">
        <w:trPr>
          <w:jc w:val="center"/>
        </w:trPr>
        <w:tc>
          <w:tcPr>
            <w:tcW w:w="0" w:type="auto"/>
            <w:vAlign w:val="center"/>
          </w:tcPr>
          <w:p w14:paraId="4684079B" w14:textId="77777777" w:rsidR="00660273" w:rsidRPr="00667172" w:rsidRDefault="00000000">
            <w:pPr>
              <w:jc w:val="center"/>
            </w:pPr>
            <w:r w:rsidRPr="00667172">
              <w:t>4</w:t>
            </w:r>
          </w:p>
        </w:tc>
        <w:tc>
          <w:tcPr>
            <w:tcW w:w="0" w:type="auto"/>
            <w:vAlign w:val="center"/>
          </w:tcPr>
          <w:p w14:paraId="52249C73" w14:textId="77777777" w:rsidR="00660273" w:rsidRPr="00667172" w:rsidRDefault="00000000">
            <w:pPr>
              <w:jc w:val="center"/>
            </w:pPr>
            <w:r w:rsidRPr="00667172">
              <w:t>4-5 paragraphs</w:t>
            </w:r>
          </w:p>
        </w:tc>
      </w:tr>
      <w:tr w:rsidR="00660273" w:rsidRPr="00667172" w14:paraId="05643D71" w14:textId="77777777">
        <w:trPr>
          <w:jc w:val="center"/>
        </w:trPr>
        <w:tc>
          <w:tcPr>
            <w:tcW w:w="0" w:type="auto"/>
            <w:vAlign w:val="center"/>
          </w:tcPr>
          <w:p w14:paraId="5787ABA5" w14:textId="77777777" w:rsidR="00660273" w:rsidRPr="00667172" w:rsidRDefault="00000000">
            <w:pPr>
              <w:jc w:val="center"/>
            </w:pPr>
            <w:r w:rsidRPr="00667172">
              <w:t>5</w:t>
            </w:r>
          </w:p>
        </w:tc>
        <w:tc>
          <w:tcPr>
            <w:tcW w:w="0" w:type="auto"/>
            <w:vAlign w:val="center"/>
          </w:tcPr>
          <w:p w14:paraId="0AD0C00C" w14:textId="77777777" w:rsidR="00660273" w:rsidRPr="00667172" w:rsidRDefault="00000000">
            <w:pPr>
              <w:jc w:val="center"/>
            </w:pPr>
            <w:r w:rsidRPr="00667172">
              <w:t>&gt;5 paragraphs</w:t>
            </w:r>
          </w:p>
        </w:tc>
      </w:tr>
    </w:tbl>
    <w:p w14:paraId="7195CA8D" w14:textId="77777777" w:rsidR="00660273" w:rsidRPr="00667172" w:rsidRDefault="00660273">
      <w:pPr>
        <w:spacing w:before="40" w:after="40"/>
        <w:ind w:right="225" w:firstLine="720"/>
        <w:jc w:val="both"/>
        <w:rPr>
          <w:color w:val="000000" w:themeColor="text1"/>
        </w:rPr>
      </w:pPr>
    </w:p>
    <w:p w14:paraId="1A886D66" w14:textId="77777777" w:rsidR="00660273" w:rsidRPr="00667172" w:rsidRDefault="00000000">
      <w:pPr>
        <w:spacing w:before="40" w:after="40"/>
        <w:ind w:right="225" w:firstLine="720"/>
        <w:jc w:val="both"/>
        <w:rPr>
          <w:bCs/>
          <w:color w:val="000000" w:themeColor="text1"/>
          <w:lang w:val="en-US"/>
        </w:rPr>
      </w:pPr>
      <w:r w:rsidRPr="00667172">
        <w:rPr>
          <w:bCs/>
          <w:color w:val="000000" w:themeColor="text1"/>
          <w:lang w:val="en-US"/>
        </w:rPr>
        <w:t>The scores obtained are then summed up to get the total score of each company. Carbon emission disclosure is calculated using the following formula:</w:t>
      </w:r>
    </w:p>
    <w:p w14:paraId="7ED9A45D" w14:textId="77777777" w:rsidR="00660273" w:rsidRDefault="00000000">
      <w:pPr>
        <w:spacing w:line="480" w:lineRule="auto"/>
        <w:ind w:left="568" w:firstLine="425"/>
        <w:jc w:val="both"/>
        <w:rPr>
          <w:rFonts w:eastAsiaTheme="minorEastAsia"/>
          <w:iCs/>
          <w:sz w:val="24"/>
          <w:szCs w:val="24"/>
          <w:lang w:val="en-US"/>
        </w:rPr>
      </w:pPr>
      <m:oMathPara>
        <m:oMath>
          <m:r>
            <m:rPr>
              <m:sty m:val="p"/>
            </m:rPr>
            <w:rPr>
              <w:rFonts w:ascii="Cambria Math" w:hAnsi="Cambria Math"/>
              <w:sz w:val="24"/>
              <w:szCs w:val="24"/>
              <w:lang w:val="en-US"/>
            </w:rPr>
            <m:t xml:space="preserve">CED= </m:t>
          </m:r>
          <m:f>
            <m:fPr>
              <m:ctrlPr>
                <w:rPr>
                  <w:rFonts w:ascii="Cambria Math" w:hAnsi="Cambria Math"/>
                  <w:iCs/>
                  <w:sz w:val="24"/>
                  <w:szCs w:val="24"/>
                  <w:lang w:val="en-US"/>
                </w:rPr>
              </m:ctrlPr>
            </m:fPr>
            <m:num>
              <m:r>
                <m:rPr>
                  <m:sty m:val="p"/>
                </m:rPr>
                <w:rPr>
                  <w:rFonts w:ascii="Cambria Math" w:hAnsi="Cambria Math"/>
                  <w:sz w:val="24"/>
                  <w:szCs w:val="24"/>
                  <w:lang w:val="en-US"/>
                </w:rPr>
                <m:t>Xit</m:t>
              </m:r>
            </m:num>
            <m:den>
              <m:r>
                <m:rPr>
                  <m:sty m:val="p"/>
                </m:rPr>
                <w:rPr>
                  <w:rFonts w:ascii="Cambria Math" w:hAnsi="Cambria Math"/>
                  <w:sz w:val="24"/>
                  <w:szCs w:val="24"/>
                  <w:lang w:val="en-US"/>
                </w:rPr>
                <m:t>n</m:t>
              </m:r>
            </m:den>
          </m:f>
        </m:oMath>
      </m:oMathPara>
    </w:p>
    <w:p w14:paraId="7E837A78" w14:textId="77777777" w:rsidR="00660273" w:rsidRPr="00667172" w:rsidRDefault="00000000">
      <w:pPr>
        <w:spacing w:before="40" w:after="40"/>
        <w:ind w:right="225" w:firstLine="720"/>
        <w:jc w:val="both"/>
        <w:rPr>
          <w:bCs/>
          <w:color w:val="000000" w:themeColor="text1"/>
          <w:lang w:val="en-US"/>
        </w:rPr>
      </w:pPr>
      <w:r w:rsidRPr="00667172">
        <w:rPr>
          <w:bCs/>
          <w:color w:val="000000" w:themeColor="text1"/>
          <w:lang w:val="en-US"/>
        </w:rPr>
        <w:t>Investor reactions are important because they affect the company's image and stock prices in the market and will also affect employee welfare (Sari et al., 2020). Therefore, parties within the company must take advantage of existing opportunities to make the company more competitive than other companies.</w:t>
      </w:r>
    </w:p>
    <w:p w14:paraId="14FE4302" w14:textId="77777777" w:rsidR="00660273" w:rsidRPr="00667172" w:rsidRDefault="00000000">
      <w:pPr>
        <w:spacing w:before="40" w:after="40"/>
        <w:ind w:right="225" w:firstLine="720"/>
        <w:jc w:val="both"/>
        <w:rPr>
          <w:bCs/>
          <w:color w:val="000000" w:themeColor="text1"/>
          <w:lang w:val="en-US"/>
        </w:rPr>
      </w:pPr>
      <w:r w:rsidRPr="00667172">
        <w:rPr>
          <w:bCs/>
          <w:color w:val="000000" w:themeColor="text1"/>
          <w:lang w:val="en-US"/>
        </w:rPr>
        <w:t>Currently, environmental issues have gained significant attention among investors. Carbon emission management and disclosure strategies can lead to improved company operational performance. This is because the information disclosed by companies will certainly affect their reputation and future sustainability (</w:t>
      </w:r>
      <w:proofErr w:type="spellStart"/>
      <w:r w:rsidRPr="00667172">
        <w:rPr>
          <w:bCs/>
          <w:color w:val="000000" w:themeColor="text1"/>
          <w:lang w:val="en-US"/>
        </w:rPr>
        <w:t>Kurnia</w:t>
      </w:r>
      <w:proofErr w:type="spellEnd"/>
      <w:r w:rsidRPr="00667172">
        <w:rPr>
          <w:bCs/>
          <w:color w:val="000000" w:themeColor="text1"/>
          <w:lang w:val="en-US"/>
        </w:rPr>
        <w:t xml:space="preserve"> et al., 2020).</w:t>
      </w:r>
    </w:p>
    <w:p w14:paraId="795D6F7A" w14:textId="77777777" w:rsidR="00660273" w:rsidRPr="00667172" w:rsidRDefault="00000000">
      <w:pPr>
        <w:pStyle w:val="Heading1"/>
        <w:spacing w:before="80" w:after="80"/>
        <w:ind w:left="0"/>
        <w:rPr>
          <w:w w:val="110"/>
          <w:lang w:val="en-US"/>
        </w:rPr>
      </w:pPr>
      <w:r w:rsidRPr="00667172">
        <w:rPr>
          <w:w w:val="110"/>
        </w:rPr>
        <w:t>Method</w:t>
      </w:r>
    </w:p>
    <w:p w14:paraId="108A8DAA" w14:textId="77777777" w:rsidR="00660273" w:rsidRPr="00667172" w:rsidRDefault="00000000">
      <w:pPr>
        <w:ind w:firstLine="720"/>
        <w:jc w:val="both"/>
        <w:rPr>
          <w:rFonts w:eastAsia="Calibri"/>
          <w:color w:val="000000" w:themeColor="text1"/>
          <w:lang w:val="en-US"/>
        </w:rPr>
      </w:pPr>
      <w:r w:rsidRPr="00667172">
        <w:rPr>
          <w:rFonts w:eastAsia="Calibri"/>
          <w:color w:val="000000" w:themeColor="text1"/>
          <w:lang w:val="en-US"/>
        </w:rPr>
        <w:t>The data used in this study are secondary data obtained through financial reports, annual reports and sustainability reports of non-financial sector companies listed on the Indonesia Stock Exchange for the 202</w:t>
      </w:r>
      <w:r w:rsidRPr="00667172">
        <w:rPr>
          <w:rFonts w:eastAsia="Calibri"/>
          <w:color w:val="000000" w:themeColor="text1"/>
        </w:rPr>
        <w:t>2</w:t>
      </w:r>
      <w:r w:rsidRPr="00667172">
        <w:rPr>
          <w:rFonts w:eastAsia="Calibri"/>
          <w:color w:val="000000" w:themeColor="text1"/>
          <w:lang w:val="en-US"/>
        </w:rPr>
        <w:t>-202</w:t>
      </w:r>
      <w:r w:rsidRPr="00667172">
        <w:rPr>
          <w:rFonts w:eastAsia="Calibri"/>
          <w:color w:val="000000" w:themeColor="text1"/>
        </w:rPr>
        <w:t>4</w:t>
      </w:r>
      <w:r w:rsidRPr="00667172">
        <w:rPr>
          <w:rFonts w:eastAsia="Calibri"/>
          <w:color w:val="000000" w:themeColor="text1"/>
          <w:lang w:val="en-US"/>
        </w:rPr>
        <w:t xml:space="preserve"> period obtained through the official website of the Indonesia Stock Exchange and or the official website of the company that was sampled. The sample in this study were 41 companies for 3 years so that a total of 123 observation data were obtained.</w:t>
      </w:r>
    </w:p>
    <w:p w14:paraId="2E696D6E" w14:textId="77777777" w:rsidR="00660273" w:rsidRPr="00667172" w:rsidRDefault="00000000">
      <w:pPr>
        <w:ind w:firstLine="720"/>
        <w:jc w:val="both"/>
        <w:rPr>
          <w:rFonts w:eastAsia="Calibri"/>
          <w:color w:val="000000" w:themeColor="text1"/>
          <w:lang w:val="en-US"/>
        </w:rPr>
      </w:pPr>
      <w:r w:rsidRPr="00667172">
        <w:rPr>
          <w:rFonts w:eastAsia="Calibri"/>
          <w:color w:val="000000" w:themeColor="text1"/>
          <w:lang w:val="en-US"/>
        </w:rPr>
        <w:t>The method used in sample selection is purposive sampling method with several criteria selected, including:</w:t>
      </w:r>
    </w:p>
    <w:p w14:paraId="1D97D10E" w14:textId="77777777" w:rsidR="00660273" w:rsidRPr="00667172" w:rsidRDefault="00000000">
      <w:pPr>
        <w:numPr>
          <w:ilvl w:val="0"/>
          <w:numId w:val="1"/>
        </w:numPr>
        <w:jc w:val="both"/>
        <w:rPr>
          <w:rFonts w:eastAsia="Calibri"/>
          <w:color w:val="000000" w:themeColor="text1"/>
          <w:lang w:val="en-US"/>
        </w:rPr>
      </w:pPr>
      <w:r w:rsidRPr="00667172">
        <w:rPr>
          <w:rFonts w:eastAsia="Calibri"/>
          <w:color w:val="000000" w:themeColor="text1"/>
          <w:lang w:val="en-US"/>
        </w:rPr>
        <w:t>Non-financial sector companies listed on the Indonesia Stock Exchange during the study period.</w:t>
      </w:r>
    </w:p>
    <w:p w14:paraId="643BD37C" w14:textId="77777777" w:rsidR="00660273" w:rsidRPr="00667172" w:rsidRDefault="00000000">
      <w:pPr>
        <w:numPr>
          <w:ilvl w:val="0"/>
          <w:numId w:val="1"/>
        </w:numPr>
        <w:jc w:val="both"/>
        <w:rPr>
          <w:rFonts w:eastAsia="Calibri"/>
          <w:color w:val="000000" w:themeColor="text1"/>
          <w:lang w:val="en-US"/>
        </w:rPr>
      </w:pPr>
      <w:r w:rsidRPr="00667172">
        <w:rPr>
          <w:rFonts w:eastAsia="Calibri"/>
          <w:color w:val="000000" w:themeColor="text1"/>
          <w:lang w:val="en-US"/>
        </w:rPr>
        <w:t>The company provides and publishes annual reports and sustainable reports which also contain financial reports by disclosing GRI Standard indicators that can be accessed during the research period.</w:t>
      </w:r>
    </w:p>
    <w:p w14:paraId="662D2E3C" w14:textId="77777777" w:rsidR="00660273" w:rsidRPr="00667172" w:rsidRDefault="00000000">
      <w:pPr>
        <w:numPr>
          <w:ilvl w:val="0"/>
          <w:numId w:val="1"/>
        </w:numPr>
        <w:jc w:val="both"/>
        <w:rPr>
          <w:rFonts w:eastAsia="Calibri"/>
          <w:color w:val="000000" w:themeColor="text1"/>
          <w:lang w:val="en-US"/>
        </w:rPr>
      </w:pPr>
      <w:r w:rsidRPr="00667172">
        <w:rPr>
          <w:rFonts w:eastAsia="Calibri"/>
          <w:color w:val="000000" w:themeColor="text1"/>
          <w:lang w:val="en-US"/>
        </w:rPr>
        <w:t>Companies that published stock indices during the study period.</w:t>
      </w:r>
    </w:p>
    <w:p w14:paraId="6E53AD1A" w14:textId="77777777" w:rsidR="00660273" w:rsidRPr="00667172" w:rsidRDefault="00000000">
      <w:pPr>
        <w:numPr>
          <w:ilvl w:val="0"/>
          <w:numId w:val="1"/>
        </w:numPr>
        <w:jc w:val="both"/>
        <w:rPr>
          <w:rFonts w:eastAsia="Calibri"/>
          <w:color w:val="000000" w:themeColor="text1"/>
          <w:lang w:val="en-US"/>
        </w:rPr>
      </w:pPr>
      <w:r w:rsidRPr="00667172">
        <w:rPr>
          <w:rFonts w:eastAsia="Calibri"/>
          <w:color w:val="000000" w:themeColor="text1"/>
          <w:lang w:val="en-US"/>
        </w:rPr>
        <w:t>Companies that did not experience losses during the study period.</w:t>
      </w:r>
    </w:p>
    <w:p w14:paraId="1B24C193" w14:textId="77777777" w:rsidR="00660273" w:rsidRPr="00667172" w:rsidRDefault="00000000">
      <w:pPr>
        <w:numPr>
          <w:ilvl w:val="0"/>
          <w:numId w:val="1"/>
        </w:numPr>
        <w:jc w:val="both"/>
        <w:rPr>
          <w:rFonts w:eastAsia="Calibri"/>
          <w:color w:val="000000" w:themeColor="text1"/>
          <w:lang w:val="en-US"/>
        </w:rPr>
      </w:pPr>
      <w:r w:rsidRPr="00667172">
        <w:rPr>
          <w:rFonts w:eastAsia="Calibri"/>
          <w:color w:val="000000" w:themeColor="text1"/>
          <w:lang w:val="en-US"/>
        </w:rPr>
        <w:t>Companies that have complete research variables.</w:t>
      </w:r>
    </w:p>
    <w:p w14:paraId="6C22D315" w14:textId="77777777" w:rsidR="00660273" w:rsidRPr="00667172" w:rsidRDefault="00000000">
      <w:pPr>
        <w:pStyle w:val="Heading1"/>
        <w:spacing w:before="80" w:after="80"/>
        <w:ind w:left="0"/>
        <w:rPr>
          <w:lang w:val="en-US"/>
        </w:rPr>
      </w:pPr>
      <w:r w:rsidRPr="00667172">
        <w:rPr>
          <w:w w:val="115"/>
          <w:lang w:val="en-US"/>
        </w:rPr>
        <w:t>Result</w:t>
      </w:r>
    </w:p>
    <w:p w14:paraId="0F08ACB1" w14:textId="77777777" w:rsidR="00660273" w:rsidRDefault="00000000">
      <w:pPr>
        <w:spacing w:before="40" w:after="40"/>
        <w:ind w:right="227" w:firstLine="720"/>
        <w:jc w:val="both"/>
        <w:rPr>
          <w:color w:val="000000" w:themeColor="text1"/>
          <w:lang w:val="en-US"/>
        </w:rPr>
      </w:pPr>
      <w:r w:rsidRPr="00667172">
        <w:rPr>
          <w:color w:val="000000" w:themeColor="text1"/>
          <w:lang w:val="en-US"/>
        </w:rPr>
        <w:t xml:space="preserve">The hypothesis in this study was examined using a </w:t>
      </w:r>
      <w:r w:rsidRPr="00667172">
        <w:rPr>
          <w:color w:val="000000" w:themeColor="text1"/>
        </w:rPr>
        <w:t xml:space="preserve">simple </w:t>
      </w:r>
      <w:r w:rsidRPr="00667172">
        <w:rPr>
          <w:color w:val="000000" w:themeColor="text1"/>
          <w:lang w:val="en-US"/>
        </w:rPr>
        <w:t>regression model. The focus was to gain an in-depth understanding of how carbon disclosure independently affects investor reactions as a dependent variable.</w:t>
      </w:r>
    </w:p>
    <w:p w14:paraId="493FF2D0" w14:textId="77777777" w:rsidR="00667172" w:rsidRDefault="00667172">
      <w:pPr>
        <w:spacing w:before="40" w:after="40"/>
        <w:ind w:right="227" w:firstLine="720"/>
        <w:jc w:val="both"/>
        <w:rPr>
          <w:color w:val="000000" w:themeColor="text1"/>
          <w:lang w:val="en-US"/>
        </w:rPr>
      </w:pPr>
    </w:p>
    <w:p w14:paraId="47C5CA77" w14:textId="77777777" w:rsidR="00667172" w:rsidRDefault="00667172">
      <w:pPr>
        <w:spacing w:before="40" w:after="40"/>
        <w:ind w:right="227" w:firstLine="720"/>
        <w:jc w:val="both"/>
        <w:rPr>
          <w:color w:val="000000" w:themeColor="text1"/>
          <w:lang w:val="en-US"/>
        </w:rPr>
      </w:pPr>
    </w:p>
    <w:p w14:paraId="17272D89" w14:textId="77777777" w:rsidR="00667172" w:rsidRPr="00667172" w:rsidRDefault="00667172">
      <w:pPr>
        <w:spacing w:before="40" w:after="40"/>
        <w:ind w:right="227" w:firstLine="720"/>
        <w:jc w:val="both"/>
        <w:rPr>
          <w:color w:val="000000" w:themeColor="text1"/>
          <w:lang w:val="en-US"/>
        </w:rPr>
      </w:pPr>
    </w:p>
    <w:p w14:paraId="5AD5B0AE" w14:textId="77777777" w:rsidR="00660273" w:rsidRPr="00667172" w:rsidRDefault="00000000">
      <w:pPr>
        <w:spacing w:before="40" w:after="40"/>
        <w:ind w:right="227" w:firstLine="720"/>
        <w:jc w:val="center"/>
        <w:rPr>
          <w:b/>
          <w:bCs/>
          <w:color w:val="000000" w:themeColor="text1"/>
        </w:rPr>
      </w:pPr>
      <w:r w:rsidRPr="00667172">
        <w:rPr>
          <w:b/>
          <w:bCs/>
          <w:color w:val="000000" w:themeColor="text1"/>
        </w:rPr>
        <w:lastRenderedPageBreak/>
        <w:t>Table 2. Descriptive Statistics</w:t>
      </w:r>
    </w:p>
    <w:tbl>
      <w:tblPr>
        <w:tblW w:w="0" w:type="auto"/>
        <w:jc w:val="center"/>
        <w:tblLayout w:type="fixed"/>
        <w:tblCellMar>
          <w:left w:w="0" w:type="dxa"/>
          <w:right w:w="0" w:type="dxa"/>
        </w:tblCellMar>
        <w:tblLook w:val="04A0" w:firstRow="1" w:lastRow="0" w:firstColumn="1" w:lastColumn="0" w:noHBand="0" w:noVBand="1"/>
      </w:tblPr>
      <w:tblGrid>
        <w:gridCol w:w="1492"/>
        <w:gridCol w:w="1313"/>
        <w:gridCol w:w="1312"/>
      </w:tblGrid>
      <w:tr w:rsidR="00660273" w:rsidRPr="00667172" w14:paraId="46979212" w14:textId="77777777">
        <w:trPr>
          <w:trHeight w:hRule="exact" w:val="90"/>
          <w:jc w:val="center"/>
        </w:trPr>
        <w:tc>
          <w:tcPr>
            <w:tcW w:w="1492" w:type="dxa"/>
            <w:tcBorders>
              <w:top w:val="single" w:sz="4" w:space="0" w:color="auto"/>
              <w:left w:val="single" w:sz="4" w:space="0" w:color="auto"/>
              <w:bottom w:val="double" w:sz="6" w:space="0" w:color="auto"/>
              <w:right w:val="nil"/>
            </w:tcBorders>
            <w:vAlign w:val="bottom"/>
          </w:tcPr>
          <w:p w14:paraId="52E7EDC2" w14:textId="77777777" w:rsidR="00660273" w:rsidRPr="00667172" w:rsidRDefault="00660273">
            <w:pPr>
              <w:adjustRightInd w:val="0"/>
              <w:jc w:val="center"/>
              <w:rPr>
                <w:color w:val="000000"/>
                <w:sz w:val="24"/>
                <w:szCs w:val="24"/>
                <w:lang w:val="zh-CN"/>
              </w:rPr>
            </w:pPr>
          </w:p>
        </w:tc>
        <w:tc>
          <w:tcPr>
            <w:tcW w:w="1313" w:type="dxa"/>
            <w:tcBorders>
              <w:top w:val="single" w:sz="4" w:space="0" w:color="auto"/>
              <w:left w:val="nil"/>
              <w:bottom w:val="double" w:sz="6" w:space="0" w:color="auto"/>
              <w:right w:val="nil"/>
            </w:tcBorders>
            <w:vAlign w:val="bottom"/>
          </w:tcPr>
          <w:p w14:paraId="2699108F" w14:textId="77777777" w:rsidR="00660273" w:rsidRPr="00667172" w:rsidRDefault="00660273">
            <w:pPr>
              <w:adjustRightInd w:val="0"/>
              <w:jc w:val="center"/>
              <w:rPr>
                <w:color w:val="000000"/>
                <w:sz w:val="24"/>
                <w:szCs w:val="24"/>
                <w:lang w:val="zh-CN"/>
              </w:rPr>
            </w:pPr>
          </w:p>
        </w:tc>
        <w:tc>
          <w:tcPr>
            <w:tcW w:w="1312" w:type="dxa"/>
            <w:tcBorders>
              <w:top w:val="single" w:sz="4" w:space="0" w:color="auto"/>
              <w:left w:val="nil"/>
              <w:bottom w:val="double" w:sz="6" w:space="0" w:color="auto"/>
              <w:right w:val="nil"/>
            </w:tcBorders>
            <w:vAlign w:val="bottom"/>
          </w:tcPr>
          <w:p w14:paraId="591CF2B3" w14:textId="77777777" w:rsidR="00660273" w:rsidRPr="00667172" w:rsidRDefault="00660273">
            <w:pPr>
              <w:adjustRightInd w:val="0"/>
              <w:jc w:val="center"/>
              <w:rPr>
                <w:color w:val="000000"/>
                <w:sz w:val="24"/>
                <w:szCs w:val="24"/>
                <w:lang w:val="zh-CN"/>
              </w:rPr>
            </w:pPr>
          </w:p>
        </w:tc>
      </w:tr>
      <w:tr w:rsidR="00660273" w:rsidRPr="00667172" w14:paraId="3253F454" w14:textId="77777777">
        <w:trPr>
          <w:trHeight w:hRule="exact" w:val="135"/>
          <w:jc w:val="center"/>
        </w:trPr>
        <w:tc>
          <w:tcPr>
            <w:tcW w:w="1492" w:type="dxa"/>
            <w:tcBorders>
              <w:top w:val="nil"/>
              <w:left w:val="single" w:sz="4" w:space="0" w:color="auto"/>
              <w:bottom w:val="nil"/>
              <w:right w:val="nil"/>
            </w:tcBorders>
            <w:vAlign w:val="bottom"/>
          </w:tcPr>
          <w:p w14:paraId="3FCB9C99" w14:textId="77777777" w:rsidR="00660273" w:rsidRPr="00667172" w:rsidRDefault="00660273">
            <w:pPr>
              <w:adjustRightInd w:val="0"/>
              <w:jc w:val="center"/>
              <w:rPr>
                <w:color w:val="000000"/>
                <w:sz w:val="24"/>
                <w:szCs w:val="24"/>
                <w:lang w:val="zh-CN"/>
              </w:rPr>
            </w:pPr>
          </w:p>
        </w:tc>
        <w:tc>
          <w:tcPr>
            <w:tcW w:w="1313" w:type="dxa"/>
            <w:tcBorders>
              <w:top w:val="nil"/>
              <w:left w:val="nil"/>
              <w:bottom w:val="nil"/>
              <w:right w:val="nil"/>
            </w:tcBorders>
            <w:vAlign w:val="bottom"/>
          </w:tcPr>
          <w:p w14:paraId="01436E2E" w14:textId="77777777" w:rsidR="00660273" w:rsidRPr="00667172" w:rsidRDefault="00660273">
            <w:pPr>
              <w:adjustRightInd w:val="0"/>
              <w:jc w:val="center"/>
              <w:rPr>
                <w:color w:val="000000"/>
                <w:sz w:val="24"/>
                <w:szCs w:val="24"/>
                <w:lang w:val="zh-CN"/>
              </w:rPr>
            </w:pPr>
          </w:p>
        </w:tc>
        <w:tc>
          <w:tcPr>
            <w:tcW w:w="1312" w:type="dxa"/>
            <w:tcBorders>
              <w:top w:val="nil"/>
              <w:left w:val="nil"/>
              <w:bottom w:val="nil"/>
              <w:right w:val="nil"/>
            </w:tcBorders>
            <w:vAlign w:val="bottom"/>
          </w:tcPr>
          <w:p w14:paraId="12E690F6" w14:textId="77777777" w:rsidR="00660273" w:rsidRPr="00667172" w:rsidRDefault="00660273">
            <w:pPr>
              <w:adjustRightInd w:val="0"/>
              <w:jc w:val="center"/>
              <w:rPr>
                <w:color w:val="000000"/>
                <w:sz w:val="24"/>
                <w:szCs w:val="24"/>
                <w:lang w:val="zh-CN"/>
              </w:rPr>
            </w:pPr>
          </w:p>
        </w:tc>
      </w:tr>
      <w:tr w:rsidR="00660273" w:rsidRPr="00667172" w14:paraId="716208BB" w14:textId="77777777">
        <w:trPr>
          <w:trHeight w:val="225"/>
          <w:jc w:val="center"/>
        </w:trPr>
        <w:tc>
          <w:tcPr>
            <w:tcW w:w="1492" w:type="dxa"/>
            <w:tcBorders>
              <w:top w:val="nil"/>
              <w:left w:val="single" w:sz="4" w:space="0" w:color="auto"/>
              <w:bottom w:val="nil"/>
              <w:right w:val="nil"/>
            </w:tcBorders>
            <w:vAlign w:val="bottom"/>
          </w:tcPr>
          <w:p w14:paraId="59D0FA04" w14:textId="77777777" w:rsidR="00660273" w:rsidRPr="00667172" w:rsidRDefault="00660273">
            <w:pPr>
              <w:adjustRightInd w:val="0"/>
              <w:jc w:val="center"/>
              <w:rPr>
                <w:color w:val="000000"/>
                <w:lang w:val="zh-CN"/>
              </w:rPr>
            </w:pPr>
          </w:p>
        </w:tc>
        <w:tc>
          <w:tcPr>
            <w:tcW w:w="1313" w:type="dxa"/>
            <w:tcBorders>
              <w:top w:val="nil"/>
              <w:left w:val="nil"/>
              <w:bottom w:val="nil"/>
              <w:right w:val="nil"/>
            </w:tcBorders>
            <w:vAlign w:val="bottom"/>
          </w:tcPr>
          <w:p w14:paraId="41145630" w14:textId="77777777" w:rsidR="00660273" w:rsidRPr="00667172" w:rsidRDefault="00000000">
            <w:pPr>
              <w:adjustRightInd w:val="0"/>
              <w:jc w:val="center"/>
              <w:rPr>
                <w:color w:val="000000"/>
                <w:lang w:val="zh-CN"/>
              </w:rPr>
            </w:pPr>
            <w:r w:rsidRPr="00667172">
              <w:rPr>
                <w:color w:val="000000"/>
                <w:lang w:val="zh-CN"/>
              </w:rPr>
              <w:t xml:space="preserve">Investor </w:t>
            </w:r>
            <w:r w:rsidRPr="00667172">
              <w:rPr>
                <w:color w:val="000000"/>
              </w:rPr>
              <w:t xml:space="preserve">Reaction </w:t>
            </w:r>
            <w:r w:rsidRPr="00667172">
              <w:rPr>
                <w:color w:val="000000"/>
                <w:lang w:val="zh-CN"/>
              </w:rPr>
              <w:t>(Y)</w:t>
            </w:r>
          </w:p>
        </w:tc>
        <w:tc>
          <w:tcPr>
            <w:tcW w:w="1312" w:type="dxa"/>
            <w:tcBorders>
              <w:top w:val="nil"/>
              <w:left w:val="nil"/>
              <w:bottom w:val="nil"/>
              <w:right w:val="nil"/>
            </w:tcBorders>
            <w:vAlign w:val="bottom"/>
          </w:tcPr>
          <w:p w14:paraId="443B52CB" w14:textId="77777777" w:rsidR="00660273" w:rsidRPr="00667172" w:rsidRDefault="00000000">
            <w:pPr>
              <w:adjustRightInd w:val="0"/>
              <w:jc w:val="center"/>
              <w:rPr>
                <w:color w:val="000000"/>
              </w:rPr>
            </w:pPr>
            <w:r w:rsidRPr="00667172">
              <w:rPr>
                <w:color w:val="000000"/>
              </w:rPr>
              <w:t>CED</w:t>
            </w:r>
          </w:p>
          <w:p w14:paraId="32E40A0B" w14:textId="77777777" w:rsidR="00660273" w:rsidRPr="00667172" w:rsidRDefault="00000000">
            <w:pPr>
              <w:adjustRightInd w:val="0"/>
              <w:jc w:val="center"/>
              <w:rPr>
                <w:color w:val="000000"/>
                <w:lang w:val="zh-CN"/>
              </w:rPr>
            </w:pPr>
            <w:r w:rsidRPr="00667172">
              <w:rPr>
                <w:color w:val="000000"/>
                <w:lang w:val="zh-CN"/>
              </w:rPr>
              <w:t>(X)</w:t>
            </w:r>
          </w:p>
        </w:tc>
      </w:tr>
      <w:tr w:rsidR="00660273" w:rsidRPr="00667172" w14:paraId="249B9DD6" w14:textId="77777777">
        <w:trPr>
          <w:trHeight w:hRule="exact" w:val="90"/>
          <w:jc w:val="center"/>
        </w:trPr>
        <w:tc>
          <w:tcPr>
            <w:tcW w:w="1492" w:type="dxa"/>
            <w:tcBorders>
              <w:top w:val="nil"/>
              <w:left w:val="single" w:sz="4" w:space="0" w:color="auto"/>
              <w:bottom w:val="double" w:sz="6" w:space="0" w:color="auto"/>
              <w:right w:val="nil"/>
            </w:tcBorders>
            <w:vAlign w:val="bottom"/>
          </w:tcPr>
          <w:p w14:paraId="58F5EBBD" w14:textId="77777777" w:rsidR="00660273" w:rsidRPr="00667172" w:rsidRDefault="00660273">
            <w:pPr>
              <w:adjustRightInd w:val="0"/>
              <w:jc w:val="center"/>
              <w:rPr>
                <w:color w:val="000000"/>
                <w:lang w:val="zh-CN"/>
              </w:rPr>
            </w:pPr>
          </w:p>
        </w:tc>
        <w:tc>
          <w:tcPr>
            <w:tcW w:w="1313" w:type="dxa"/>
            <w:tcBorders>
              <w:top w:val="nil"/>
              <w:left w:val="nil"/>
              <w:bottom w:val="double" w:sz="6" w:space="0" w:color="auto"/>
              <w:right w:val="nil"/>
            </w:tcBorders>
            <w:vAlign w:val="bottom"/>
          </w:tcPr>
          <w:p w14:paraId="6D618A99" w14:textId="77777777" w:rsidR="00660273" w:rsidRPr="00667172" w:rsidRDefault="00660273">
            <w:pPr>
              <w:adjustRightInd w:val="0"/>
              <w:jc w:val="center"/>
              <w:rPr>
                <w:color w:val="000000"/>
                <w:lang w:val="zh-CN"/>
              </w:rPr>
            </w:pPr>
          </w:p>
        </w:tc>
        <w:tc>
          <w:tcPr>
            <w:tcW w:w="1312" w:type="dxa"/>
            <w:tcBorders>
              <w:top w:val="nil"/>
              <w:left w:val="nil"/>
              <w:bottom w:val="double" w:sz="6" w:space="0" w:color="auto"/>
              <w:right w:val="nil"/>
            </w:tcBorders>
            <w:vAlign w:val="bottom"/>
          </w:tcPr>
          <w:p w14:paraId="520F00B9" w14:textId="77777777" w:rsidR="00660273" w:rsidRPr="00667172" w:rsidRDefault="00660273">
            <w:pPr>
              <w:adjustRightInd w:val="0"/>
              <w:jc w:val="center"/>
              <w:rPr>
                <w:color w:val="000000"/>
                <w:lang w:val="zh-CN"/>
              </w:rPr>
            </w:pPr>
          </w:p>
        </w:tc>
      </w:tr>
      <w:tr w:rsidR="00660273" w:rsidRPr="00667172" w14:paraId="5D7A6018" w14:textId="77777777">
        <w:trPr>
          <w:trHeight w:hRule="exact" w:val="135"/>
          <w:jc w:val="center"/>
        </w:trPr>
        <w:tc>
          <w:tcPr>
            <w:tcW w:w="1492" w:type="dxa"/>
            <w:tcBorders>
              <w:top w:val="nil"/>
              <w:left w:val="single" w:sz="4" w:space="0" w:color="auto"/>
              <w:bottom w:val="nil"/>
              <w:right w:val="nil"/>
            </w:tcBorders>
            <w:vAlign w:val="bottom"/>
          </w:tcPr>
          <w:p w14:paraId="0102F26A" w14:textId="77777777" w:rsidR="00660273" w:rsidRPr="00667172" w:rsidRDefault="00660273">
            <w:pPr>
              <w:adjustRightInd w:val="0"/>
              <w:jc w:val="center"/>
              <w:rPr>
                <w:color w:val="000000"/>
                <w:lang w:val="zh-CN"/>
              </w:rPr>
            </w:pPr>
          </w:p>
        </w:tc>
        <w:tc>
          <w:tcPr>
            <w:tcW w:w="1313" w:type="dxa"/>
            <w:tcBorders>
              <w:top w:val="nil"/>
              <w:left w:val="nil"/>
              <w:bottom w:val="nil"/>
              <w:right w:val="nil"/>
            </w:tcBorders>
            <w:vAlign w:val="bottom"/>
          </w:tcPr>
          <w:p w14:paraId="691A6D8D" w14:textId="77777777" w:rsidR="00660273" w:rsidRPr="00667172" w:rsidRDefault="00660273">
            <w:pPr>
              <w:adjustRightInd w:val="0"/>
              <w:jc w:val="center"/>
              <w:rPr>
                <w:color w:val="000000"/>
                <w:lang w:val="zh-CN"/>
              </w:rPr>
            </w:pPr>
          </w:p>
        </w:tc>
        <w:tc>
          <w:tcPr>
            <w:tcW w:w="1312" w:type="dxa"/>
            <w:tcBorders>
              <w:top w:val="nil"/>
              <w:left w:val="nil"/>
              <w:bottom w:val="nil"/>
              <w:right w:val="nil"/>
            </w:tcBorders>
            <w:vAlign w:val="bottom"/>
          </w:tcPr>
          <w:p w14:paraId="35E99809" w14:textId="77777777" w:rsidR="00660273" w:rsidRPr="00667172" w:rsidRDefault="00660273">
            <w:pPr>
              <w:adjustRightInd w:val="0"/>
              <w:jc w:val="center"/>
              <w:rPr>
                <w:color w:val="000000"/>
                <w:lang w:val="zh-CN"/>
              </w:rPr>
            </w:pPr>
          </w:p>
        </w:tc>
      </w:tr>
      <w:tr w:rsidR="00660273" w:rsidRPr="00667172" w14:paraId="75825950" w14:textId="77777777">
        <w:trPr>
          <w:trHeight w:val="225"/>
          <w:jc w:val="center"/>
        </w:trPr>
        <w:tc>
          <w:tcPr>
            <w:tcW w:w="1492" w:type="dxa"/>
            <w:tcBorders>
              <w:top w:val="nil"/>
              <w:left w:val="single" w:sz="4" w:space="0" w:color="auto"/>
              <w:bottom w:val="nil"/>
              <w:right w:val="nil"/>
            </w:tcBorders>
            <w:vAlign w:val="bottom"/>
          </w:tcPr>
          <w:p w14:paraId="3AC555DB" w14:textId="77777777" w:rsidR="00660273" w:rsidRPr="00667172" w:rsidRDefault="00000000">
            <w:pPr>
              <w:adjustRightInd w:val="0"/>
              <w:rPr>
                <w:color w:val="000000"/>
                <w:lang w:val="zh-CN"/>
              </w:rPr>
            </w:pPr>
            <w:r w:rsidRPr="00667172">
              <w:rPr>
                <w:color w:val="000000"/>
                <w:lang w:val="zh-CN"/>
              </w:rPr>
              <w:t> Mean</w:t>
            </w:r>
          </w:p>
        </w:tc>
        <w:tc>
          <w:tcPr>
            <w:tcW w:w="1313" w:type="dxa"/>
            <w:tcBorders>
              <w:top w:val="nil"/>
              <w:left w:val="nil"/>
              <w:bottom w:val="nil"/>
              <w:right w:val="nil"/>
            </w:tcBorders>
            <w:vAlign w:val="bottom"/>
          </w:tcPr>
          <w:p w14:paraId="3F7B83EE" w14:textId="77777777" w:rsidR="00660273" w:rsidRPr="00667172" w:rsidRDefault="00000000">
            <w:pPr>
              <w:adjustRightInd w:val="0"/>
              <w:jc w:val="center"/>
              <w:rPr>
                <w:color w:val="000000"/>
                <w:lang w:val="zh-CN"/>
              </w:rPr>
            </w:pPr>
            <w:r w:rsidRPr="00667172">
              <w:rPr>
                <w:color w:val="000000"/>
                <w:lang w:val="zh-CN"/>
              </w:rPr>
              <w:t>-0.002698</w:t>
            </w:r>
          </w:p>
        </w:tc>
        <w:tc>
          <w:tcPr>
            <w:tcW w:w="1312" w:type="dxa"/>
            <w:tcBorders>
              <w:top w:val="nil"/>
              <w:left w:val="nil"/>
              <w:bottom w:val="nil"/>
              <w:right w:val="nil"/>
            </w:tcBorders>
            <w:vAlign w:val="bottom"/>
          </w:tcPr>
          <w:p w14:paraId="00812558" w14:textId="77777777" w:rsidR="00660273" w:rsidRPr="00667172" w:rsidRDefault="00000000">
            <w:pPr>
              <w:adjustRightInd w:val="0"/>
              <w:jc w:val="center"/>
              <w:rPr>
                <w:color w:val="000000"/>
                <w:lang w:val="zh-CN"/>
              </w:rPr>
            </w:pPr>
            <w:r w:rsidRPr="00667172">
              <w:rPr>
                <w:color w:val="000000"/>
                <w:lang w:val="zh-CN"/>
              </w:rPr>
              <w:t> 0.920325</w:t>
            </w:r>
          </w:p>
        </w:tc>
      </w:tr>
      <w:tr w:rsidR="00660273" w:rsidRPr="00667172" w14:paraId="6A6DE9CE" w14:textId="77777777">
        <w:trPr>
          <w:trHeight w:val="225"/>
          <w:jc w:val="center"/>
        </w:trPr>
        <w:tc>
          <w:tcPr>
            <w:tcW w:w="1492" w:type="dxa"/>
            <w:tcBorders>
              <w:top w:val="nil"/>
              <w:left w:val="single" w:sz="4" w:space="0" w:color="auto"/>
              <w:bottom w:val="nil"/>
              <w:right w:val="nil"/>
            </w:tcBorders>
            <w:vAlign w:val="bottom"/>
          </w:tcPr>
          <w:p w14:paraId="24A942AF" w14:textId="77777777" w:rsidR="00660273" w:rsidRPr="00667172" w:rsidRDefault="00000000">
            <w:pPr>
              <w:adjustRightInd w:val="0"/>
              <w:rPr>
                <w:color w:val="000000"/>
                <w:lang w:val="zh-CN"/>
              </w:rPr>
            </w:pPr>
            <w:r w:rsidRPr="00667172">
              <w:rPr>
                <w:color w:val="000000"/>
                <w:lang w:val="zh-CN"/>
              </w:rPr>
              <w:t> Median</w:t>
            </w:r>
          </w:p>
        </w:tc>
        <w:tc>
          <w:tcPr>
            <w:tcW w:w="1313" w:type="dxa"/>
            <w:tcBorders>
              <w:top w:val="nil"/>
              <w:left w:val="nil"/>
              <w:bottom w:val="nil"/>
              <w:right w:val="nil"/>
            </w:tcBorders>
            <w:vAlign w:val="bottom"/>
          </w:tcPr>
          <w:p w14:paraId="0C6FF2E4" w14:textId="77777777" w:rsidR="00660273" w:rsidRPr="00667172" w:rsidRDefault="00000000">
            <w:pPr>
              <w:adjustRightInd w:val="0"/>
              <w:jc w:val="center"/>
              <w:rPr>
                <w:color w:val="000000"/>
                <w:lang w:val="zh-CN"/>
              </w:rPr>
            </w:pPr>
            <w:r w:rsidRPr="00667172">
              <w:rPr>
                <w:color w:val="000000"/>
                <w:lang w:val="zh-CN"/>
              </w:rPr>
              <w:t>-0.000800</w:t>
            </w:r>
          </w:p>
        </w:tc>
        <w:tc>
          <w:tcPr>
            <w:tcW w:w="1312" w:type="dxa"/>
            <w:tcBorders>
              <w:top w:val="nil"/>
              <w:left w:val="nil"/>
              <w:bottom w:val="nil"/>
              <w:right w:val="nil"/>
            </w:tcBorders>
            <w:vAlign w:val="bottom"/>
          </w:tcPr>
          <w:p w14:paraId="3DC5DAF6" w14:textId="77777777" w:rsidR="00660273" w:rsidRPr="00667172" w:rsidRDefault="00000000">
            <w:pPr>
              <w:adjustRightInd w:val="0"/>
              <w:jc w:val="center"/>
              <w:rPr>
                <w:color w:val="000000"/>
                <w:lang w:val="zh-CN"/>
              </w:rPr>
            </w:pPr>
            <w:r w:rsidRPr="00667172">
              <w:rPr>
                <w:color w:val="000000"/>
                <w:lang w:val="zh-CN"/>
              </w:rPr>
              <w:t> 1.000000</w:t>
            </w:r>
          </w:p>
        </w:tc>
      </w:tr>
      <w:tr w:rsidR="00660273" w:rsidRPr="00667172" w14:paraId="2B0AC0EC" w14:textId="77777777">
        <w:trPr>
          <w:trHeight w:val="225"/>
          <w:jc w:val="center"/>
        </w:trPr>
        <w:tc>
          <w:tcPr>
            <w:tcW w:w="1492" w:type="dxa"/>
            <w:tcBorders>
              <w:top w:val="nil"/>
              <w:left w:val="single" w:sz="4" w:space="0" w:color="auto"/>
              <w:bottom w:val="nil"/>
              <w:right w:val="nil"/>
            </w:tcBorders>
            <w:vAlign w:val="bottom"/>
          </w:tcPr>
          <w:p w14:paraId="15AF66E5" w14:textId="77777777" w:rsidR="00660273" w:rsidRPr="00667172" w:rsidRDefault="00000000">
            <w:pPr>
              <w:adjustRightInd w:val="0"/>
              <w:rPr>
                <w:color w:val="000000"/>
                <w:lang w:val="zh-CN"/>
              </w:rPr>
            </w:pPr>
            <w:r w:rsidRPr="00667172">
              <w:rPr>
                <w:color w:val="000000"/>
                <w:lang w:val="zh-CN"/>
              </w:rPr>
              <w:t> Maximum</w:t>
            </w:r>
          </w:p>
        </w:tc>
        <w:tc>
          <w:tcPr>
            <w:tcW w:w="1313" w:type="dxa"/>
            <w:tcBorders>
              <w:top w:val="nil"/>
              <w:left w:val="nil"/>
              <w:bottom w:val="nil"/>
              <w:right w:val="nil"/>
            </w:tcBorders>
            <w:vAlign w:val="bottom"/>
          </w:tcPr>
          <w:p w14:paraId="050B179E" w14:textId="77777777" w:rsidR="00660273" w:rsidRPr="00667172" w:rsidRDefault="00000000">
            <w:pPr>
              <w:adjustRightInd w:val="0"/>
              <w:jc w:val="center"/>
              <w:rPr>
                <w:color w:val="000000"/>
                <w:lang w:val="zh-CN"/>
              </w:rPr>
            </w:pPr>
            <w:r w:rsidRPr="00667172">
              <w:rPr>
                <w:color w:val="000000"/>
                <w:lang w:val="zh-CN"/>
              </w:rPr>
              <w:t> 0.087200</w:t>
            </w:r>
          </w:p>
        </w:tc>
        <w:tc>
          <w:tcPr>
            <w:tcW w:w="1312" w:type="dxa"/>
            <w:tcBorders>
              <w:top w:val="nil"/>
              <w:left w:val="nil"/>
              <w:bottom w:val="nil"/>
              <w:right w:val="nil"/>
            </w:tcBorders>
            <w:vAlign w:val="bottom"/>
          </w:tcPr>
          <w:p w14:paraId="1595B343" w14:textId="77777777" w:rsidR="00660273" w:rsidRPr="00667172" w:rsidRDefault="00000000">
            <w:pPr>
              <w:adjustRightInd w:val="0"/>
              <w:jc w:val="center"/>
              <w:rPr>
                <w:color w:val="000000"/>
                <w:lang w:val="zh-CN"/>
              </w:rPr>
            </w:pPr>
            <w:r w:rsidRPr="00667172">
              <w:rPr>
                <w:color w:val="000000"/>
                <w:lang w:val="zh-CN"/>
              </w:rPr>
              <w:t> 1.000000</w:t>
            </w:r>
          </w:p>
        </w:tc>
      </w:tr>
      <w:tr w:rsidR="00660273" w:rsidRPr="00667172" w14:paraId="5B435523" w14:textId="77777777">
        <w:trPr>
          <w:trHeight w:val="225"/>
          <w:jc w:val="center"/>
        </w:trPr>
        <w:tc>
          <w:tcPr>
            <w:tcW w:w="1492" w:type="dxa"/>
            <w:tcBorders>
              <w:top w:val="nil"/>
              <w:left w:val="single" w:sz="4" w:space="0" w:color="auto"/>
              <w:bottom w:val="nil"/>
              <w:right w:val="nil"/>
            </w:tcBorders>
            <w:vAlign w:val="bottom"/>
          </w:tcPr>
          <w:p w14:paraId="5697DE52" w14:textId="77777777" w:rsidR="00660273" w:rsidRPr="00667172" w:rsidRDefault="00000000">
            <w:pPr>
              <w:adjustRightInd w:val="0"/>
              <w:rPr>
                <w:color w:val="000000"/>
                <w:lang w:val="zh-CN"/>
              </w:rPr>
            </w:pPr>
            <w:r w:rsidRPr="00667172">
              <w:rPr>
                <w:color w:val="000000"/>
                <w:lang w:val="zh-CN"/>
              </w:rPr>
              <w:t> Minimum</w:t>
            </w:r>
          </w:p>
        </w:tc>
        <w:tc>
          <w:tcPr>
            <w:tcW w:w="1313" w:type="dxa"/>
            <w:tcBorders>
              <w:top w:val="nil"/>
              <w:left w:val="nil"/>
              <w:bottom w:val="nil"/>
              <w:right w:val="nil"/>
            </w:tcBorders>
            <w:vAlign w:val="bottom"/>
          </w:tcPr>
          <w:p w14:paraId="1B38DFA9" w14:textId="77777777" w:rsidR="00660273" w:rsidRPr="00667172" w:rsidRDefault="00000000">
            <w:pPr>
              <w:adjustRightInd w:val="0"/>
              <w:jc w:val="center"/>
              <w:rPr>
                <w:color w:val="000000"/>
                <w:lang w:val="zh-CN"/>
              </w:rPr>
            </w:pPr>
            <w:r w:rsidRPr="00667172">
              <w:rPr>
                <w:color w:val="000000"/>
                <w:lang w:val="zh-CN"/>
              </w:rPr>
              <w:t>-0.123300</w:t>
            </w:r>
          </w:p>
        </w:tc>
        <w:tc>
          <w:tcPr>
            <w:tcW w:w="1312" w:type="dxa"/>
            <w:tcBorders>
              <w:top w:val="nil"/>
              <w:left w:val="nil"/>
              <w:bottom w:val="nil"/>
              <w:right w:val="nil"/>
            </w:tcBorders>
            <w:vAlign w:val="bottom"/>
          </w:tcPr>
          <w:p w14:paraId="6FE91123" w14:textId="77777777" w:rsidR="00660273" w:rsidRPr="00667172" w:rsidRDefault="00000000">
            <w:pPr>
              <w:adjustRightInd w:val="0"/>
              <w:jc w:val="center"/>
              <w:rPr>
                <w:color w:val="000000"/>
                <w:lang w:val="zh-CN"/>
              </w:rPr>
            </w:pPr>
            <w:r w:rsidRPr="00667172">
              <w:rPr>
                <w:color w:val="000000"/>
                <w:lang w:val="zh-CN"/>
              </w:rPr>
              <w:t> 0.200000</w:t>
            </w:r>
          </w:p>
        </w:tc>
      </w:tr>
      <w:tr w:rsidR="00660273" w:rsidRPr="00667172" w14:paraId="61F786A8" w14:textId="77777777">
        <w:trPr>
          <w:trHeight w:val="225"/>
          <w:jc w:val="center"/>
        </w:trPr>
        <w:tc>
          <w:tcPr>
            <w:tcW w:w="1492" w:type="dxa"/>
            <w:tcBorders>
              <w:top w:val="nil"/>
              <w:left w:val="single" w:sz="4" w:space="0" w:color="auto"/>
              <w:bottom w:val="nil"/>
              <w:right w:val="nil"/>
            </w:tcBorders>
            <w:vAlign w:val="bottom"/>
          </w:tcPr>
          <w:p w14:paraId="41260F6F" w14:textId="77777777" w:rsidR="00660273" w:rsidRPr="00667172" w:rsidRDefault="00000000">
            <w:pPr>
              <w:adjustRightInd w:val="0"/>
              <w:rPr>
                <w:color w:val="000000"/>
                <w:lang w:val="zh-CN"/>
              </w:rPr>
            </w:pPr>
            <w:r w:rsidRPr="00667172">
              <w:rPr>
                <w:color w:val="000000"/>
                <w:lang w:val="zh-CN"/>
              </w:rPr>
              <w:t> Std. Dev.</w:t>
            </w:r>
          </w:p>
        </w:tc>
        <w:tc>
          <w:tcPr>
            <w:tcW w:w="1313" w:type="dxa"/>
            <w:tcBorders>
              <w:top w:val="nil"/>
              <w:left w:val="nil"/>
              <w:bottom w:val="nil"/>
              <w:right w:val="nil"/>
            </w:tcBorders>
            <w:vAlign w:val="bottom"/>
          </w:tcPr>
          <w:p w14:paraId="6C2AE87E" w14:textId="77777777" w:rsidR="00660273" w:rsidRPr="00667172" w:rsidRDefault="00000000">
            <w:pPr>
              <w:adjustRightInd w:val="0"/>
              <w:jc w:val="center"/>
              <w:rPr>
                <w:color w:val="000000"/>
                <w:lang w:val="zh-CN"/>
              </w:rPr>
            </w:pPr>
            <w:r w:rsidRPr="00667172">
              <w:rPr>
                <w:color w:val="000000"/>
                <w:lang w:val="zh-CN"/>
              </w:rPr>
              <w:t> 0.038249</w:t>
            </w:r>
          </w:p>
        </w:tc>
        <w:tc>
          <w:tcPr>
            <w:tcW w:w="1312" w:type="dxa"/>
            <w:tcBorders>
              <w:top w:val="nil"/>
              <w:left w:val="nil"/>
              <w:bottom w:val="nil"/>
              <w:right w:val="nil"/>
            </w:tcBorders>
            <w:vAlign w:val="bottom"/>
          </w:tcPr>
          <w:p w14:paraId="45261B71" w14:textId="77777777" w:rsidR="00660273" w:rsidRPr="00667172" w:rsidRDefault="00000000">
            <w:pPr>
              <w:adjustRightInd w:val="0"/>
              <w:jc w:val="center"/>
              <w:rPr>
                <w:color w:val="000000"/>
                <w:lang w:val="zh-CN"/>
              </w:rPr>
            </w:pPr>
            <w:r w:rsidRPr="00667172">
              <w:rPr>
                <w:color w:val="000000"/>
                <w:lang w:val="zh-CN"/>
              </w:rPr>
              <w:t> 0.167410</w:t>
            </w:r>
          </w:p>
        </w:tc>
      </w:tr>
      <w:tr w:rsidR="00660273" w:rsidRPr="00667172" w14:paraId="13956CD8" w14:textId="77777777">
        <w:trPr>
          <w:trHeight w:val="225"/>
          <w:jc w:val="center"/>
        </w:trPr>
        <w:tc>
          <w:tcPr>
            <w:tcW w:w="1492" w:type="dxa"/>
            <w:tcBorders>
              <w:top w:val="nil"/>
              <w:left w:val="single" w:sz="4" w:space="0" w:color="auto"/>
              <w:bottom w:val="nil"/>
              <w:right w:val="nil"/>
            </w:tcBorders>
            <w:vAlign w:val="bottom"/>
          </w:tcPr>
          <w:p w14:paraId="6FF5B53E" w14:textId="77777777" w:rsidR="00660273" w:rsidRPr="00667172" w:rsidRDefault="00000000">
            <w:pPr>
              <w:adjustRightInd w:val="0"/>
              <w:rPr>
                <w:color w:val="000000"/>
                <w:lang w:val="zh-CN"/>
              </w:rPr>
            </w:pPr>
            <w:r w:rsidRPr="00667172">
              <w:rPr>
                <w:color w:val="000000"/>
                <w:lang w:val="zh-CN"/>
              </w:rPr>
              <w:t> Jarque-Bera</w:t>
            </w:r>
          </w:p>
        </w:tc>
        <w:tc>
          <w:tcPr>
            <w:tcW w:w="1313" w:type="dxa"/>
            <w:tcBorders>
              <w:top w:val="nil"/>
              <w:left w:val="nil"/>
              <w:bottom w:val="nil"/>
              <w:right w:val="nil"/>
            </w:tcBorders>
            <w:vAlign w:val="bottom"/>
          </w:tcPr>
          <w:p w14:paraId="4037000A" w14:textId="77777777" w:rsidR="00660273" w:rsidRPr="00667172" w:rsidRDefault="00000000">
            <w:pPr>
              <w:adjustRightInd w:val="0"/>
              <w:jc w:val="center"/>
              <w:rPr>
                <w:color w:val="000000"/>
                <w:lang w:val="zh-CN"/>
              </w:rPr>
            </w:pPr>
            <w:r w:rsidRPr="00667172">
              <w:rPr>
                <w:color w:val="000000"/>
                <w:lang w:val="zh-CN"/>
              </w:rPr>
              <w:t> 3.431276</w:t>
            </w:r>
          </w:p>
        </w:tc>
        <w:tc>
          <w:tcPr>
            <w:tcW w:w="1312" w:type="dxa"/>
            <w:tcBorders>
              <w:top w:val="nil"/>
              <w:left w:val="nil"/>
              <w:bottom w:val="nil"/>
              <w:right w:val="nil"/>
            </w:tcBorders>
            <w:vAlign w:val="bottom"/>
          </w:tcPr>
          <w:p w14:paraId="1909447F" w14:textId="77777777" w:rsidR="00660273" w:rsidRPr="00667172" w:rsidRDefault="00000000">
            <w:pPr>
              <w:adjustRightInd w:val="0"/>
              <w:jc w:val="center"/>
              <w:rPr>
                <w:color w:val="000000"/>
                <w:lang w:val="zh-CN"/>
              </w:rPr>
            </w:pPr>
            <w:r w:rsidRPr="00667172">
              <w:rPr>
                <w:color w:val="000000"/>
                <w:lang w:val="zh-CN"/>
              </w:rPr>
              <w:t> 182.9688</w:t>
            </w:r>
          </w:p>
        </w:tc>
      </w:tr>
      <w:tr w:rsidR="00660273" w:rsidRPr="00667172" w14:paraId="421D784C" w14:textId="77777777">
        <w:trPr>
          <w:trHeight w:val="225"/>
          <w:jc w:val="center"/>
        </w:trPr>
        <w:tc>
          <w:tcPr>
            <w:tcW w:w="1492" w:type="dxa"/>
            <w:tcBorders>
              <w:top w:val="nil"/>
              <w:left w:val="single" w:sz="4" w:space="0" w:color="auto"/>
              <w:bottom w:val="nil"/>
              <w:right w:val="nil"/>
            </w:tcBorders>
            <w:vAlign w:val="bottom"/>
          </w:tcPr>
          <w:p w14:paraId="667D507D" w14:textId="77777777" w:rsidR="00660273" w:rsidRPr="00667172" w:rsidRDefault="00000000">
            <w:pPr>
              <w:adjustRightInd w:val="0"/>
              <w:rPr>
                <w:color w:val="000000"/>
                <w:lang w:val="zh-CN"/>
              </w:rPr>
            </w:pPr>
            <w:r w:rsidRPr="00667172">
              <w:rPr>
                <w:color w:val="000000"/>
                <w:lang w:val="zh-CN"/>
              </w:rPr>
              <w:t> Probability</w:t>
            </w:r>
          </w:p>
        </w:tc>
        <w:tc>
          <w:tcPr>
            <w:tcW w:w="1313" w:type="dxa"/>
            <w:tcBorders>
              <w:top w:val="nil"/>
              <w:left w:val="nil"/>
              <w:bottom w:val="nil"/>
              <w:right w:val="nil"/>
            </w:tcBorders>
            <w:vAlign w:val="bottom"/>
          </w:tcPr>
          <w:p w14:paraId="7085CA30" w14:textId="77777777" w:rsidR="00660273" w:rsidRPr="00667172" w:rsidRDefault="00000000">
            <w:pPr>
              <w:adjustRightInd w:val="0"/>
              <w:jc w:val="center"/>
              <w:rPr>
                <w:color w:val="000000"/>
                <w:lang w:val="zh-CN"/>
              </w:rPr>
            </w:pPr>
            <w:r w:rsidRPr="00667172">
              <w:rPr>
                <w:color w:val="000000"/>
                <w:lang w:val="zh-CN"/>
              </w:rPr>
              <w:t> 0.179849</w:t>
            </w:r>
          </w:p>
        </w:tc>
        <w:tc>
          <w:tcPr>
            <w:tcW w:w="1312" w:type="dxa"/>
            <w:tcBorders>
              <w:top w:val="nil"/>
              <w:left w:val="nil"/>
              <w:bottom w:val="nil"/>
              <w:right w:val="nil"/>
            </w:tcBorders>
            <w:vAlign w:val="bottom"/>
          </w:tcPr>
          <w:p w14:paraId="57AA7A2A" w14:textId="77777777" w:rsidR="00660273" w:rsidRPr="00667172" w:rsidRDefault="00000000">
            <w:pPr>
              <w:adjustRightInd w:val="0"/>
              <w:jc w:val="center"/>
              <w:rPr>
                <w:color w:val="000000"/>
                <w:lang w:val="zh-CN"/>
              </w:rPr>
            </w:pPr>
            <w:r w:rsidRPr="00667172">
              <w:rPr>
                <w:color w:val="000000"/>
                <w:lang w:val="zh-CN"/>
              </w:rPr>
              <w:t> 0.000000</w:t>
            </w:r>
          </w:p>
        </w:tc>
      </w:tr>
      <w:tr w:rsidR="00660273" w:rsidRPr="00667172" w14:paraId="26FDEEE2" w14:textId="77777777">
        <w:trPr>
          <w:trHeight w:val="225"/>
          <w:jc w:val="center"/>
        </w:trPr>
        <w:tc>
          <w:tcPr>
            <w:tcW w:w="1492" w:type="dxa"/>
            <w:tcBorders>
              <w:top w:val="nil"/>
              <w:left w:val="single" w:sz="4" w:space="0" w:color="auto"/>
              <w:bottom w:val="nil"/>
              <w:right w:val="nil"/>
            </w:tcBorders>
            <w:vAlign w:val="bottom"/>
          </w:tcPr>
          <w:p w14:paraId="7F9CC9AE" w14:textId="77777777" w:rsidR="00660273" w:rsidRPr="00667172" w:rsidRDefault="00000000">
            <w:pPr>
              <w:adjustRightInd w:val="0"/>
              <w:rPr>
                <w:color w:val="000000"/>
                <w:lang w:val="zh-CN"/>
              </w:rPr>
            </w:pPr>
            <w:r w:rsidRPr="00667172">
              <w:rPr>
                <w:color w:val="000000"/>
                <w:lang w:val="zh-CN"/>
              </w:rPr>
              <w:t> Sum</w:t>
            </w:r>
          </w:p>
        </w:tc>
        <w:tc>
          <w:tcPr>
            <w:tcW w:w="1313" w:type="dxa"/>
            <w:tcBorders>
              <w:top w:val="nil"/>
              <w:left w:val="nil"/>
              <w:bottom w:val="nil"/>
              <w:right w:val="nil"/>
            </w:tcBorders>
            <w:vAlign w:val="bottom"/>
          </w:tcPr>
          <w:p w14:paraId="3CF222C1" w14:textId="77777777" w:rsidR="00660273" w:rsidRPr="00667172" w:rsidRDefault="00000000">
            <w:pPr>
              <w:adjustRightInd w:val="0"/>
              <w:jc w:val="center"/>
              <w:rPr>
                <w:color w:val="000000"/>
                <w:lang w:val="zh-CN"/>
              </w:rPr>
            </w:pPr>
            <w:r w:rsidRPr="00667172">
              <w:rPr>
                <w:color w:val="000000"/>
                <w:lang w:val="zh-CN"/>
              </w:rPr>
              <w:t>-0.331900</w:t>
            </w:r>
          </w:p>
        </w:tc>
        <w:tc>
          <w:tcPr>
            <w:tcW w:w="1312" w:type="dxa"/>
            <w:tcBorders>
              <w:top w:val="nil"/>
              <w:left w:val="nil"/>
              <w:bottom w:val="nil"/>
              <w:right w:val="nil"/>
            </w:tcBorders>
            <w:vAlign w:val="bottom"/>
          </w:tcPr>
          <w:p w14:paraId="302C1A69" w14:textId="77777777" w:rsidR="00660273" w:rsidRPr="00667172" w:rsidRDefault="00000000">
            <w:pPr>
              <w:adjustRightInd w:val="0"/>
              <w:jc w:val="center"/>
              <w:rPr>
                <w:color w:val="000000"/>
                <w:lang w:val="zh-CN"/>
              </w:rPr>
            </w:pPr>
            <w:r w:rsidRPr="00667172">
              <w:rPr>
                <w:color w:val="000000"/>
                <w:lang w:val="zh-CN"/>
              </w:rPr>
              <w:t> 113.2000</w:t>
            </w:r>
          </w:p>
        </w:tc>
      </w:tr>
      <w:tr w:rsidR="00660273" w:rsidRPr="00667172" w14:paraId="1BFB2290" w14:textId="77777777">
        <w:trPr>
          <w:trHeight w:val="225"/>
          <w:jc w:val="center"/>
        </w:trPr>
        <w:tc>
          <w:tcPr>
            <w:tcW w:w="1492" w:type="dxa"/>
            <w:tcBorders>
              <w:top w:val="nil"/>
              <w:left w:val="single" w:sz="4" w:space="0" w:color="auto"/>
              <w:bottom w:val="nil"/>
              <w:right w:val="nil"/>
            </w:tcBorders>
            <w:vAlign w:val="bottom"/>
          </w:tcPr>
          <w:p w14:paraId="76C22B8A" w14:textId="77777777" w:rsidR="00660273" w:rsidRPr="00667172" w:rsidRDefault="00000000">
            <w:pPr>
              <w:adjustRightInd w:val="0"/>
              <w:rPr>
                <w:color w:val="000000"/>
                <w:lang w:val="zh-CN"/>
              </w:rPr>
            </w:pPr>
            <w:r w:rsidRPr="00667172">
              <w:rPr>
                <w:color w:val="000000"/>
                <w:lang w:val="zh-CN"/>
              </w:rPr>
              <w:t> Sum Sq. Dev.</w:t>
            </w:r>
          </w:p>
        </w:tc>
        <w:tc>
          <w:tcPr>
            <w:tcW w:w="1313" w:type="dxa"/>
            <w:tcBorders>
              <w:top w:val="nil"/>
              <w:left w:val="nil"/>
              <w:bottom w:val="nil"/>
              <w:right w:val="nil"/>
            </w:tcBorders>
            <w:vAlign w:val="bottom"/>
          </w:tcPr>
          <w:p w14:paraId="120D4C5D" w14:textId="77777777" w:rsidR="00660273" w:rsidRPr="00667172" w:rsidRDefault="00000000">
            <w:pPr>
              <w:adjustRightInd w:val="0"/>
              <w:jc w:val="center"/>
              <w:rPr>
                <w:color w:val="000000"/>
                <w:lang w:val="zh-CN"/>
              </w:rPr>
            </w:pPr>
            <w:r w:rsidRPr="00667172">
              <w:rPr>
                <w:color w:val="000000"/>
                <w:lang w:val="zh-CN"/>
              </w:rPr>
              <w:t> 0.178483</w:t>
            </w:r>
          </w:p>
        </w:tc>
        <w:tc>
          <w:tcPr>
            <w:tcW w:w="1312" w:type="dxa"/>
            <w:tcBorders>
              <w:top w:val="nil"/>
              <w:left w:val="nil"/>
              <w:bottom w:val="nil"/>
              <w:right w:val="nil"/>
            </w:tcBorders>
            <w:vAlign w:val="bottom"/>
          </w:tcPr>
          <w:p w14:paraId="23374FBF" w14:textId="77777777" w:rsidR="00660273" w:rsidRPr="00667172" w:rsidRDefault="00000000">
            <w:pPr>
              <w:adjustRightInd w:val="0"/>
              <w:jc w:val="center"/>
              <w:rPr>
                <w:color w:val="000000"/>
                <w:lang w:val="zh-CN"/>
              </w:rPr>
            </w:pPr>
            <w:r w:rsidRPr="00667172">
              <w:rPr>
                <w:color w:val="000000"/>
                <w:lang w:val="zh-CN"/>
              </w:rPr>
              <w:t> 3.419187</w:t>
            </w:r>
          </w:p>
        </w:tc>
      </w:tr>
      <w:tr w:rsidR="00660273" w:rsidRPr="00667172" w14:paraId="44623973" w14:textId="77777777">
        <w:trPr>
          <w:trHeight w:val="225"/>
          <w:jc w:val="center"/>
        </w:trPr>
        <w:tc>
          <w:tcPr>
            <w:tcW w:w="1492" w:type="dxa"/>
            <w:tcBorders>
              <w:top w:val="nil"/>
              <w:left w:val="single" w:sz="4" w:space="0" w:color="auto"/>
              <w:bottom w:val="nil"/>
              <w:right w:val="nil"/>
            </w:tcBorders>
            <w:vAlign w:val="bottom"/>
          </w:tcPr>
          <w:p w14:paraId="0C69AF6E" w14:textId="77777777" w:rsidR="00660273" w:rsidRPr="00667172" w:rsidRDefault="00660273">
            <w:pPr>
              <w:adjustRightInd w:val="0"/>
              <w:jc w:val="center"/>
              <w:rPr>
                <w:color w:val="000000"/>
                <w:lang w:val="zh-CN"/>
              </w:rPr>
            </w:pPr>
          </w:p>
        </w:tc>
        <w:tc>
          <w:tcPr>
            <w:tcW w:w="1313" w:type="dxa"/>
            <w:tcBorders>
              <w:top w:val="nil"/>
              <w:left w:val="nil"/>
              <w:bottom w:val="nil"/>
              <w:right w:val="nil"/>
            </w:tcBorders>
            <w:vAlign w:val="bottom"/>
          </w:tcPr>
          <w:p w14:paraId="4D7BBC84" w14:textId="77777777" w:rsidR="00660273" w:rsidRPr="00667172" w:rsidRDefault="00660273">
            <w:pPr>
              <w:adjustRightInd w:val="0"/>
              <w:jc w:val="center"/>
              <w:rPr>
                <w:color w:val="000000"/>
                <w:lang w:val="zh-CN"/>
              </w:rPr>
            </w:pPr>
          </w:p>
        </w:tc>
        <w:tc>
          <w:tcPr>
            <w:tcW w:w="1312" w:type="dxa"/>
            <w:tcBorders>
              <w:top w:val="nil"/>
              <w:left w:val="nil"/>
              <w:bottom w:val="nil"/>
              <w:right w:val="nil"/>
            </w:tcBorders>
            <w:vAlign w:val="bottom"/>
          </w:tcPr>
          <w:p w14:paraId="1EFBFE94" w14:textId="77777777" w:rsidR="00660273" w:rsidRPr="00667172" w:rsidRDefault="00660273">
            <w:pPr>
              <w:adjustRightInd w:val="0"/>
              <w:jc w:val="center"/>
              <w:rPr>
                <w:color w:val="000000"/>
                <w:lang w:val="zh-CN"/>
              </w:rPr>
            </w:pPr>
          </w:p>
        </w:tc>
      </w:tr>
      <w:tr w:rsidR="00660273" w:rsidRPr="00667172" w14:paraId="13ACB8FC" w14:textId="77777777">
        <w:trPr>
          <w:trHeight w:val="225"/>
          <w:jc w:val="center"/>
        </w:trPr>
        <w:tc>
          <w:tcPr>
            <w:tcW w:w="1492" w:type="dxa"/>
            <w:tcBorders>
              <w:top w:val="nil"/>
              <w:left w:val="single" w:sz="4" w:space="0" w:color="auto"/>
              <w:bottom w:val="single" w:sz="4" w:space="0" w:color="auto"/>
              <w:right w:val="nil"/>
            </w:tcBorders>
            <w:vAlign w:val="bottom"/>
          </w:tcPr>
          <w:p w14:paraId="0742C7C6" w14:textId="77777777" w:rsidR="00660273" w:rsidRPr="00667172" w:rsidRDefault="00000000">
            <w:pPr>
              <w:adjustRightInd w:val="0"/>
              <w:rPr>
                <w:color w:val="000000"/>
                <w:lang w:val="zh-CN"/>
              </w:rPr>
            </w:pPr>
            <w:r w:rsidRPr="00667172">
              <w:rPr>
                <w:color w:val="000000"/>
                <w:lang w:val="zh-CN"/>
              </w:rPr>
              <w:t> Observations</w:t>
            </w:r>
          </w:p>
        </w:tc>
        <w:tc>
          <w:tcPr>
            <w:tcW w:w="1313" w:type="dxa"/>
            <w:tcBorders>
              <w:top w:val="nil"/>
              <w:left w:val="nil"/>
              <w:bottom w:val="single" w:sz="4" w:space="0" w:color="auto"/>
              <w:right w:val="nil"/>
            </w:tcBorders>
            <w:vAlign w:val="bottom"/>
          </w:tcPr>
          <w:p w14:paraId="27F6A5FD" w14:textId="77777777" w:rsidR="00660273" w:rsidRPr="00667172" w:rsidRDefault="00000000">
            <w:pPr>
              <w:adjustRightInd w:val="0"/>
              <w:jc w:val="center"/>
              <w:rPr>
                <w:color w:val="000000"/>
                <w:lang w:val="zh-CN"/>
              </w:rPr>
            </w:pPr>
            <w:r w:rsidRPr="00667172">
              <w:rPr>
                <w:color w:val="000000"/>
                <w:lang w:val="zh-CN"/>
              </w:rPr>
              <w:t> 123</w:t>
            </w:r>
          </w:p>
        </w:tc>
        <w:tc>
          <w:tcPr>
            <w:tcW w:w="1312" w:type="dxa"/>
            <w:tcBorders>
              <w:top w:val="nil"/>
              <w:left w:val="nil"/>
              <w:bottom w:val="single" w:sz="4" w:space="0" w:color="auto"/>
              <w:right w:val="nil"/>
            </w:tcBorders>
            <w:vAlign w:val="bottom"/>
          </w:tcPr>
          <w:p w14:paraId="3C4A9115" w14:textId="77777777" w:rsidR="00660273" w:rsidRPr="00667172" w:rsidRDefault="00000000">
            <w:pPr>
              <w:adjustRightInd w:val="0"/>
              <w:jc w:val="center"/>
              <w:rPr>
                <w:color w:val="000000"/>
                <w:lang w:val="zh-CN"/>
              </w:rPr>
            </w:pPr>
            <w:r w:rsidRPr="00667172">
              <w:rPr>
                <w:color w:val="000000"/>
                <w:lang w:val="zh-CN"/>
              </w:rPr>
              <w:t> 123</w:t>
            </w:r>
          </w:p>
        </w:tc>
      </w:tr>
    </w:tbl>
    <w:p w14:paraId="644153AB" w14:textId="77777777" w:rsidR="00660273" w:rsidRPr="00667172" w:rsidRDefault="00000000">
      <w:pPr>
        <w:numPr>
          <w:ilvl w:val="0"/>
          <w:numId w:val="2"/>
        </w:numPr>
        <w:spacing w:before="40" w:after="40"/>
        <w:ind w:right="227"/>
        <w:jc w:val="both"/>
        <w:rPr>
          <w:color w:val="000000" w:themeColor="text1"/>
        </w:rPr>
      </w:pPr>
      <w:r w:rsidRPr="00667172">
        <w:rPr>
          <w:color w:val="000000" w:themeColor="text1"/>
        </w:rPr>
        <w:t>Descriptive statistics for the Investor Reaction (Y) variable show a minimum value of -0.123300 for PT Wijaya Karya Beton Tbk in 2022. The maximum value of 0.087200 was recorded by PT. Bukit Asam Tbk in 2024, with an average (mean) value of -0.002698 and a standard deviation of 0.038249.</w:t>
      </w:r>
    </w:p>
    <w:p w14:paraId="3933A2D6" w14:textId="77777777" w:rsidR="00660273" w:rsidRPr="00667172" w:rsidRDefault="00000000">
      <w:pPr>
        <w:numPr>
          <w:ilvl w:val="0"/>
          <w:numId w:val="2"/>
        </w:numPr>
        <w:spacing w:before="40" w:after="40"/>
        <w:ind w:right="227"/>
        <w:jc w:val="both"/>
        <w:rPr>
          <w:color w:val="000000" w:themeColor="text1"/>
        </w:rPr>
      </w:pPr>
      <w:r w:rsidRPr="00667172">
        <w:rPr>
          <w:color w:val="000000" w:themeColor="text1"/>
        </w:rPr>
        <w:t>The descriptive statistics results for the Carbon Emissions Disclosure variable (X) show a minimum value of 0.200000 owned by PT Astra Agro Lestari Tbk in 2024. The maximum value of   1.000000 was held by  PT Ace Hardware Indonesia Tbk, PT Adhi Karya (Persero) TBK, PT Astra Agro Lestari Tbk, PT Akr Corporindo Tbk, PT Austindo Nusantara Jaya Tbk, PT Aneka Tambang Tbk, PT Astra International Tbk, PT Astra Otoparts Tbk, PT Barito Pacific Tbk, PT Bumi Serpong Damai Tbk, PT Charoen Pokphand Indonesia Tbk, PT Elnusa Tbk, PT XL Axiata Tbk, PT Impack Pratama Industri Tbk, PT Vale Indonesia Tbk, PT Indocement Tunggal Prakarsa Tbk, PT Jasa Armada Indonesia Tbk, PT Indo Tambangraya Megah Tbk, PT Japfa Comfeed Indonesia Tbk, PT Jasa Marga (Persero) Tbk, PT PP London Sumatra Indonesia Tbk, PT Merdeka Copper Gold Tbk, PT Merck Tbk, PT Multi Bintang Indonesia Tbk, PT Samindo Resources Tbk, PT Pan Brothers Tbk, PT Phapros Tbk, PT Cikarang Listrindo Tbk, PT Bukit Asam Tbk, PT Petrosea Tbk, PT Siloam International Hospitals Tbk, PT Solusi Bangun Indonesia Tbk, PT Semen Indonesia (Persero) Tbk, PT Saratoga Investama Sedaya Tbk, PT Tower Bersama Infrastructure Tbk, PT Total Bangun Persada Tbk, PT United Tractors Tbk, PT Unilever Indonesia Tbk, PT Wijaya Karya (Persero) Tbk, and PT Wijaya Karya Beton Tbk in 2022, 2023, and 2024, the average value (mean) was  0.920325 and the deviation (standard deviation) was  0.167410.</w:t>
      </w:r>
    </w:p>
    <w:p w14:paraId="0CFAABCF" w14:textId="77777777" w:rsidR="00660273" w:rsidRDefault="00660273">
      <w:pPr>
        <w:spacing w:before="40" w:after="40"/>
        <w:ind w:right="227"/>
        <w:jc w:val="both"/>
        <w:rPr>
          <w:color w:val="000000" w:themeColor="text1"/>
          <w:sz w:val="24"/>
          <w:szCs w:val="24"/>
        </w:rPr>
      </w:pPr>
    </w:p>
    <w:p w14:paraId="079DE34B" w14:textId="77777777" w:rsidR="00660273" w:rsidRPr="00667172" w:rsidRDefault="00000000">
      <w:pPr>
        <w:spacing w:before="40" w:after="40"/>
        <w:ind w:right="227"/>
        <w:jc w:val="center"/>
        <w:rPr>
          <w:b/>
          <w:bCs/>
          <w:color w:val="000000" w:themeColor="text1"/>
          <w:sz w:val="24"/>
          <w:szCs w:val="24"/>
        </w:rPr>
      </w:pPr>
      <w:r w:rsidRPr="00667172">
        <w:rPr>
          <w:b/>
          <w:bCs/>
          <w:color w:val="000000" w:themeColor="text1"/>
          <w:sz w:val="24"/>
          <w:szCs w:val="24"/>
        </w:rPr>
        <w:t>Table 3. Regression Analysis</w:t>
      </w:r>
    </w:p>
    <w:tbl>
      <w:tblPr>
        <w:tblW w:w="0" w:type="auto"/>
        <w:jc w:val="center"/>
        <w:tblLayout w:type="fixed"/>
        <w:tblCellMar>
          <w:left w:w="0" w:type="dxa"/>
          <w:right w:w="0" w:type="dxa"/>
        </w:tblCellMar>
        <w:tblLook w:val="04A0" w:firstRow="1" w:lastRow="0" w:firstColumn="1" w:lastColumn="0" w:noHBand="0" w:noVBand="1"/>
      </w:tblPr>
      <w:tblGrid>
        <w:gridCol w:w="988"/>
        <w:gridCol w:w="1008"/>
        <w:gridCol w:w="1104"/>
        <w:gridCol w:w="1104"/>
        <w:gridCol w:w="912"/>
      </w:tblGrid>
      <w:tr w:rsidR="00660273" w14:paraId="17EB0015" w14:textId="77777777">
        <w:trPr>
          <w:trHeight w:val="204"/>
          <w:jc w:val="center"/>
        </w:trPr>
        <w:tc>
          <w:tcPr>
            <w:tcW w:w="988" w:type="dxa"/>
            <w:tcBorders>
              <w:top w:val="single" w:sz="4" w:space="0" w:color="auto"/>
              <w:left w:val="single" w:sz="4" w:space="0" w:color="auto"/>
              <w:bottom w:val="nil"/>
              <w:right w:val="nil"/>
            </w:tcBorders>
            <w:vAlign w:val="bottom"/>
          </w:tcPr>
          <w:p w14:paraId="4F256579" w14:textId="77777777" w:rsidR="00660273" w:rsidRDefault="00000000">
            <w:pPr>
              <w:adjustRightInd w:val="0"/>
              <w:jc w:val="center"/>
              <w:rPr>
                <w:color w:val="000000"/>
                <w:sz w:val="24"/>
                <w:szCs w:val="24"/>
              </w:rPr>
            </w:pPr>
            <w:r>
              <w:rPr>
                <w:color w:val="000000"/>
                <w:sz w:val="24"/>
                <w:szCs w:val="24"/>
              </w:rPr>
              <w:t>Variable</w:t>
            </w:r>
          </w:p>
        </w:tc>
        <w:tc>
          <w:tcPr>
            <w:tcW w:w="1008" w:type="dxa"/>
            <w:tcBorders>
              <w:top w:val="single" w:sz="4" w:space="0" w:color="auto"/>
              <w:left w:val="nil"/>
              <w:bottom w:val="nil"/>
              <w:right w:val="nil"/>
            </w:tcBorders>
            <w:vAlign w:val="bottom"/>
          </w:tcPr>
          <w:p w14:paraId="68B2B9C2" w14:textId="77777777" w:rsidR="00660273" w:rsidRDefault="00000000">
            <w:pPr>
              <w:adjustRightInd w:val="0"/>
              <w:ind w:right="20"/>
              <w:jc w:val="right"/>
              <w:rPr>
                <w:color w:val="000000"/>
                <w:sz w:val="24"/>
                <w:szCs w:val="24"/>
              </w:rPr>
            </w:pPr>
            <w:r>
              <w:rPr>
                <w:color w:val="000000"/>
                <w:sz w:val="24"/>
                <w:szCs w:val="24"/>
              </w:rPr>
              <w:t>Coefficient</w:t>
            </w:r>
          </w:p>
        </w:tc>
        <w:tc>
          <w:tcPr>
            <w:tcW w:w="1104" w:type="dxa"/>
            <w:tcBorders>
              <w:top w:val="single" w:sz="4" w:space="0" w:color="auto"/>
              <w:left w:val="nil"/>
              <w:bottom w:val="nil"/>
              <w:right w:val="nil"/>
            </w:tcBorders>
            <w:vAlign w:val="bottom"/>
          </w:tcPr>
          <w:p w14:paraId="2B8D2969" w14:textId="77777777" w:rsidR="00660273" w:rsidRDefault="00000000">
            <w:pPr>
              <w:adjustRightInd w:val="0"/>
              <w:ind w:right="20"/>
              <w:jc w:val="right"/>
              <w:rPr>
                <w:color w:val="000000"/>
                <w:sz w:val="24"/>
                <w:szCs w:val="24"/>
              </w:rPr>
            </w:pPr>
            <w:r>
              <w:rPr>
                <w:color w:val="000000"/>
                <w:sz w:val="24"/>
                <w:szCs w:val="24"/>
              </w:rPr>
              <w:t>Std. Error</w:t>
            </w:r>
          </w:p>
        </w:tc>
        <w:tc>
          <w:tcPr>
            <w:tcW w:w="1104" w:type="dxa"/>
            <w:tcBorders>
              <w:top w:val="single" w:sz="4" w:space="0" w:color="auto"/>
              <w:left w:val="nil"/>
              <w:bottom w:val="nil"/>
              <w:right w:val="nil"/>
            </w:tcBorders>
            <w:vAlign w:val="bottom"/>
          </w:tcPr>
          <w:p w14:paraId="617A6421" w14:textId="77777777" w:rsidR="00660273" w:rsidRDefault="00000000">
            <w:pPr>
              <w:adjustRightInd w:val="0"/>
              <w:ind w:right="20"/>
              <w:jc w:val="right"/>
              <w:rPr>
                <w:color w:val="000000"/>
                <w:sz w:val="24"/>
                <w:szCs w:val="24"/>
              </w:rPr>
            </w:pPr>
            <w:r>
              <w:rPr>
                <w:color w:val="000000"/>
                <w:sz w:val="24"/>
                <w:szCs w:val="24"/>
              </w:rPr>
              <w:t>t-Statistic</w:t>
            </w:r>
          </w:p>
        </w:tc>
        <w:tc>
          <w:tcPr>
            <w:tcW w:w="912" w:type="dxa"/>
            <w:tcBorders>
              <w:top w:val="single" w:sz="4" w:space="0" w:color="auto"/>
              <w:left w:val="nil"/>
              <w:bottom w:val="nil"/>
              <w:right w:val="single" w:sz="4" w:space="0" w:color="auto"/>
            </w:tcBorders>
            <w:vAlign w:val="bottom"/>
          </w:tcPr>
          <w:p w14:paraId="2F602EAA" w14:textId="77777777" w:rsidR="00660273" w:rsidRDefault="00000000">
            <w:pPr>
              <w:adjustRightInd w:val="0"/>
              <w:ind w:right="20"/>
              <w:jc w:val="right"/>
              <w:rPr>
                <w:color w:val="000000"/>
                <w:sz w:val="24"/>
                <w:szCs w:val="24"/>
              </w:rPr>
            </w:pPr>
            <w:r>
              <w:rPr>
                <w:color w:val="000000"/>
                <w:sz w:val="24"/>
                <w:szCs w:val="24"/>
              </w:rPr>
              <w:t>Prob.  </w:t>
            </w:r>
          </w:p>
        </w:tc>
      </w:tr>
      <w:tr w:rsidR="00660273" w14:paraId="52C4F492" w14:textId="77777777">
        <w:trPr>
          <w:trHeight w:hRule="exact" w:val="81"/>
          <w:jc w:val="center"/>
        </w:trPr>
        <w:tc>
          <w:tcPr>
            <w:tcW w:w="988" w:type="dxa"/>
            <w:tcBorders>
              <w:top w:val="nil"/>
              <w:left w:val="single" w:sz="4" w:space="0" w:color="auto"/>
              <w:bottom w:val="double" w:sz="6" w:space="0" w:color="auto"/>
              <w:right w:val="nil"/>
            </w:tcBorders>
            <w:vAlign w:val="bottom"/>
          </w:tcPr>
          <w:p w14:paraId="2D6EF4AE" w14:textId="77777777" w:rsidR="00660273" w:rsidRDefault="00660273">
            <w:pPr>
              <w:adjustRightInd w:val="0"/>
              <w:jc w:val="center"/>
              <w:rPr>
                <w:color w:val="000000"/>
                <w:sz w:val="24"/>
                <w:szCs w:val="24"/>
              </w:rPr>
            </w:pPr>
          </w:p>
        </w:tc>
        <w:tc>
          <w:tcPr>
            <w:tcW w:w="1008" w:type="dxa"/>
            <w:tcBorders>
              <w:top w:val="nil"/>
              <w:left w:val="nil"/>
              <w:bottom w:val="double" w:sz="6" w:space="0" w:color="auto"/>
              <w:right w:val="nil"/>
            </w:tcBorders>
            <w:vAlign w:val="bottom"/>
          </w:tcPr>
          <w:p w14:paraId="14AD82E4" w14:textId="77777777" w:rsidR="00660273" w:rsidRDefault="00660273">
            <w:pPr>
              <w:adjustRightInd w:val="0"/>
              <w:jc w:val="center"/>
              <w:rPr>
                <w:color w:val="000000"/>
                <w:sz w:val="24"/>
                <w:szCs w:val="24"/>
              </w:rPr>
            </w:pPr>
          </w:p>
        </w:tc>
        <w:tc>
          <w:tcPr>
            <w:tcW w:w="1104" w:type="dxa"/>
            <w:tcBorders>
              <w:top w:val="nil"/>
              <w:left w:val="nil"/>
              <w:bottom w:val="double" w:sz="6" w:space="0" w:color="auto"/>
              <w:right w:val="nil"/>
            </w:tcBorders>
            <w:vAlign w:val="bottom"/>
          </w:tcPr>
          <w:p w14:paraId="5F8329D6" w14:textId="77777777" w:rsidR="00660273" w:rsidRDefault="00660273">
            <w:pPr>
              <w:adjustRightInd w:val="0"/>
              <w:jc w:val="center"/>
              <w:rPr>
                <w:color w:val="000000"/>
                <w:sz w:val="24"/>
                <w:szCs w:val="24"/>
              </w:rPr>
            </w:pPr>
          </w:p>
        </w:tc>
        <w:tc>
          <w:tcPr>
            <w:tcW w:w="1104" w:type="dxa"/>
            <w:tcBorders>
              <w:top w:val="nil"/>
              <w:left w:val="nil"/>
              <w:bottom w:val="double" w:sz="6" w:space="0" w:color="auto"/>
              <w:right w:val="nil"/>
            </w:tcBorders>
            <w:vAlign w:val="bottom"/>
          </w:tcPr>
          <w:p w14:paraId="45E8DBBF" w14:textId="77777777" w:rsidR="00660273" w:rsidRDefault="00660273">
            <w:pPr>
              <w:adjustRightInd w:val="0"/>
              <w:jc w:val="center"/>
              <w:rPr>
                <w:color w:val="000000"/>
                <w:sz w:val="24"/>
                <w:szCs w:val="24"/>
              </w:rPr>
            </w:pPr>
          </w:p>
        </w:tc>
        <w:tc>
          <w:tcPr>
            <w:tcW w:w="912" w:type="dxa"/>
            <w:tcBorders>
              <w:top w:val="nil"/>
              <w:left w:val="nil"/>
              <w:bottom w:val="double" w:sz="6" w:space="0" w:color="auto"/>
              <w:right w:val="single" w:sz="4" w:space="0" w:color="auto"/>
            </w:tcBorders>
            <w:vAlign w:val="bottom"/>
          </w:tcPr>
          <w:p w14:paraId="11430289" w14:textId="77777777" w:rsidR="00660273" w:rsidRDefault="00660273">
            <w:pPr>
              <w:adjustRightInd w:val="0"/>
              <w:jc w:val="center"/>
              <w:rPr>
                <w:color w:val="000000"/>
                <w:sz w:val="24"/>
                <w:szCs w:val="24"/>
              </w:rPr>
            </w:pPr>
          </w:p>
        </w:tc>
      </w:tr>
      <w:tr w:rsidR="00660273" w14:paraId="12526A03" w14:textId="77777777">
        <w:trPr>
          <w:trHeight w:hRule="exact" w:val="122"/>
          <w:jc w:val="center"/>
        </w:trPr>
        <w:tc>
          <w:tcPr>
            <w:tcW w:w="988" w:type="dxa"/>
            <w:tcBorders>
              <w:top w:val="nil"/>
              <w:left w:val="single" w:sz="4" w:space="0" w:color="auto"/>
              <w:bottom w:val="nil"/>
              <w:right w:val="nil"/>
            </w:tcBorders>
            <w:vAlign w:val="bottom"/>
          </w:tcPr>
          <w:p w14:paraId="68E764B8" w14:textId="77777777" w:rsidR="00660273" w:rsidRDefault="00660273">
            <w:pPr>
              <w:adjustRightInd w:val="0"/>
              <w:jc w:val="center"/>
              <w:rPr>
                <w:color w:val="000000"/>
                <w:sz w:val="24"/>
                <w:szCs w:val="24"/>
              </w:rPr>
            </w:pPr>
          </w:p>
        </w:tc>
        <w:tc>
          <w:tcPr>
            <w:tcW w:w="1008" w:type="dxa"/>
            <w:tcBorders>
              <w:top w:val="nil"/>
              <w:left w:val="nil"/>
              <w:bottom w:val="nil"/>
              <w:right w:val="nil"/>
            </w:tcBorders>
            <w:vAlign w:val="bottom"/>
          </w:tcPr>
          <w:p w14:paraId="100FE553" w14:textId="77777777" w:rsidR="00660273" w:rsidRDefault="00660273">
            <w:pPr>
              <w:adjustRightInd w:val="0"/>
              <w:jc w:val="center"/>
              <w:rPr>
                <w:color w:val="000000"/>
                <w:sz w:val="24"/>
                <w:szCs w:val="24"/>
              </w:rPr>
            </w:pPr>
          </w:p>
        </w:tc>
        <w:tc>
          <w:tcPr>
            <w:tcW w:w="1104" w:type="dxa"/>
            <w:tcBorders>
              <w:top w:val="nil"/>
              <w:left w:val="nil"/>
              <w:bottom w:val="nil"/>
              <w:right w:val="nil"/>
            </w:tcBorders>
            <w:vAlign w:val="bottom"/>
          </w:tcPr>
          <w:p w14:paraId="4CDD6C01" w14:textId="77777777" w:rsidR="00660273" w:rsidRDefault="00660273">
            <w:pPr>
              <w:adjustRightInd w:val="0"/>
              <w:jc w:val="center"/>
              <w:rPr>
                <w:color w:val="000000"/>
                <w:sz w:val="24"/>
                <w:szCs w:val="24"/>
              </w:rPr>
            </w:pPr>
          </w:p>
        </w:tc>
        <w:tc>
          <w:tcPr>
            <w:tcW w:w="1104" w:type="dxa"/>
            <w:tcBorders>
              <w:top w:val="nil"/>
              <w:left w:val="nil"/>
              <w:bottom w:val="nil"/>
              <w:right w:val="nil"/>
            </w:tcBorders>
            <w:vAlign w:val="bottom"/>
          </w:tcPr>
          <w:p w14:paraId="65854DCF" w14:textId="77777777" w:rsidR="00660273" w:rsidRDefault="00660273">
            <w:pPr>
              <w:adjustRightInd w:val="0"/>
              <w:jc w:val="center"/>
              <w:rPr>
                <w:color w:val="000000"/>
                <w:sz w:val="24"/>
                <w:szCs w:val="24"/>
              </w:rPr>
            </w:pPr>
          </w:p>
        </w:tc>
        <w:tc>
          <w:tcPr>
            <w:tcW w:w="912" w:type="dxa"/>
            <w:tcBorders>
              <w:top w:val="nil"/>
              <w:left w:val="nil"/>
              <w:bottom w:val="nil"/>
              <w:right w:val="single" w:sz="4" w:space="0" w:color="auto"/>
            </w:tcBorders>
            <w:vAlign w:val="bottom"/>
          </w:tcPr>
          <w:p w14:paraId="4606EA2C" w14:textId="77777777" w:rsidR="00660273" w:rsidRDefault="00660273">
            <w:pPr>
              <w:adjustRightInd w:val="0"/>
              <w:jc w:val="center"/>
              <w:rPr>
                <w:color w:val="000000"/>
                <w:sz w:val="24"/>
                <w:szCs w:val="24"/>
              </w:rPr>
            </w:pPr>
          </w:p>
        </w:tc>
      </w:tr>
      <w:tr w:rsidR="00660273" w14:paraId="4F951406" w14:textId="77777777">
        <w:trPr>
          <w:trHeight w:val="204"/>
          <w:jc w:val="center"/>
        </w:trPr>
        <w:tc>
          <w:tcPr>
            <w:tcW w:w="988" w:type="dxa"/>
            <w:tcBorders>
              <w:top w:val="nil"/>
              <w:left w:val="single" w:sz="4" w:space="0" w:color="auto"/>
              <w:bottom w:val="nil"/>
              <w:right w:val="nil"/>
            </w:tcBorders>
            <w:vAlign w:val="bottom"/>
          </w:tcPr>
          <w:p w14:paraId="7EB9A843" w14:textId="77777777" w:rsidR="00660273" w:rsidRDefault="00000000">
            <w:pPr>
              <w:adjustRightInd w:val="0"/>
              <w:jc w:val="center"/>
              <w:rPr>
                <w:color w:val="000000"/>
                <w:sz w:val="24"/>
                <w:szCs w:val="24"/>
              </w:rPr>
            </w:pPr>
            <w:r>
              <w:rPr>
                <w:color w:val="000000"/>
                <w:sz w:val="24"/>
                <w:szCs w:val="24"/>
              </w:rPr>
              <w:t>C</w:t>
            </w:r>
          </w:p>
        </w:tc>
        <w:tc>
          <w:tcPr>
            <w:tcW w:w="1008" w:type="dxa"/>
            <w:tcBorders>
              <w:top w:val="nil"/>
              <w:left w:val="nil"/>
              <w:bottom w:val="nil"/>
              <w:right w:val="nil"/>
            </w:tcBorders>
            <w:vAlign w:val="bottom"/>
          </w:tcPr>
          <w:p w14:paraId="337914DE" w14:textId="77777777" w:rsidR="00660273" w:rsidRDefault="00000000">
            <w:pPr>
              <w:adjustRightInd w:val="0"/>
              <w:ind w:right="20"/>
              <w:jc w:val="right"/>
              <w:rPr>
                <w:color w:val="000000"/>
                <w:sz w:val="24"/>
                <w:szCs w:val="24"/>
              </w:rPr>
            </w:pPr>
            <w:r>
              <w:rPr>
                <w:color w:val="000000"/>
                <w:sz w:val="24"/>
                <w:szCs w:val="24"/>
              </w:rPr>
              <w:t>-0.390939</w:t>
            </w:r>
          </w:p>
        </w:tc>
        <w:tc>
          <w:tcPr>
            <w:tcW w:w="1104" w:type="dxa"/>
            <w:tcBorders>
              <w:top w:val="nil"/>
              <w:left w:val="nil"/>
              <w:bottom w:val="nil"/>
              <w:right w:val="nil"/>
            </w:tcBorders>
            <w:vAlign w:val="bottom"/>
          </w:tcPr>
          <w:p w14:paraId="47224C4F" w14:textId="77777777" w:rsidR="00660273" w:rsidRDefault="00000000">
            <w:pPr>
              <w:adjustRightInd w:val="0"/>
              <w:ind w:right="20"/>
              <w:jc w:val="right"/>
              <w:rPr>
                <w:color w:val="000000"/>
                <w:sz w:val="24"/>
                <w:szCs w:val="24"/>
              </w:rPr>
            </w:pPr>
            <w:r>
              <w:rPr>
                <w:color w:val="000000"/>
                <w:sz w:val="24"/>
                <w:szCs w:val="24"/>
              </w:rPr>
              <w:t>0.107222</w:t>
            </w:r>
          </w:p>
        </w:tc>
        <w:tc>
          <w:tcPr>
            <w:tcW w:w="1104" w:type="dxa"/>
            <w:tcBorders>
              <w:top w:val="nil"/>
              <w:left w:val="nil"/>
              <w:bottom w:val="nil"/>
              <w:right w:val="nil"/>
            </w:tcBorders>
            <w:vAlign w:val="bottom"/>
          </w:tcPr>
          <w:p w14:paraId="09D64D5E" w14:textId="77777777" w:rsidR="00660273" w:rsidRDefault="00000000">
            <w:pPr>
              <w:adjustRightInd w:val="0"/>
              <w:ind w:right="20"/>
              <w:jc w:val="right"/>
              <w:rPr>
                <w:color w:val="000000"/>
                <w:sz w:val="24"/>
                <w:szCs w:val="24"/>
              </w:rPr>
            </w:pPr>
            <w:r>
              <w:rPr>
                <w:color w:val="000000"/>
                <w:sz w:val="24"/>
                <w:szCs w:val="24"/>
              </w:rPr>
              <w:t>-1.738351</w:t>
            </w:r>
          </w:p>
        </w:tc>
        <w:tc>
          <w:tcPr>
            <w:tcW w:w="912" w:type="dxa"/>
            <w:tcBorders>
              <w:top w:val="nil"/>
              <w:left w:val="nil"/>
              <w:bottom w:val="nil"/>
              <w:right w:val="single" w:sz="4" w:space="0" w:color="auto"/>
            </w:tcBorders>
            <w:vAlign w:val="bottom"/>
          </w:tcPr>
          <w:p w14:paraId="7D62BA61" w14:textId="77777777" w:rsidR="00660273" w:rsidRDefault="00000000">
            <w:pPr>
              <w:adjustRightInd w:val="0"/>
              <w:ind w:right="20"/>
              <w:jc w:val="right"/>
              <w:rPr>
                <w:color w:val="000000"/>
                <w:sz w:val="24"/>
                <w:szCs w:val="24"/>
              </w:rPr>
            </w:pPr>
            <w:r>
              <w:rPr>
                <w:color w:val="000000"/>
                <w:sz w:val="24"/>
                <w:szCs w:val="24"/>
              </w:rPr>
              <w:t>0.1860</w:t>
            </w:r>
          </w:p>
        </w:tc>
      </w:tr>
      <w:tr w:rsidR="00660273" w14:paraId="3AA3A0E1" w14:textId="77777777">
        <w:trPr>
          <w:trHeight w:val="204"/>
          <w:jc w:val="center"/>
        </w:trPr>
        <w:tc>
          <w:tcPr>
            <w:tcW w:w="988" w:type="dxa"/>
            <w:tcBorders>
              <w:top w:val="nil"/>
              <w:left w:val="single" w:sz="4" w:space="0" w:color="auto"/>
              <w:bottom w:val="nil"/>
              <w:right w:val="nil"/>
            </w:tcBorders>
            <w:vAlign w:val="bottom"/>
          </w:tcPr>
          <w:p w14:paraId="252DFC87" w14:textId="77777777" w:rsidR="00660273" w:rsidRDefault="00000000">
            <w:pPr>
              <w:adjustRightInd w:val="0"/>
              <w:jc w:val="center"/>
              <w:rPr>
                <w:color w:val="000000"/>
                <w:sz w:val="24"/>
                <w:szCs w:val="24"/>
              </w:rPr>
            </w:pPr>
            <w:r>
              <w:rPr>
                <w:color w:val="000000"/>
                <w:sz w:val="24"/>
                <w:szCs w:val="24"/>
              </w:rPr>
              <w:t>CED</w:t>
            </w:r>
          </w:p>
        </w:tc>
        <w:tc>
          <w:tcPr>
            <w:tcW w:w="1008" w:type="dxa"/>
            <w:tcBorders>
              <w:top w:val="nil"/>
              <w:left w:val="nil"/>
              <w:bottom w:val="nil"/>
              <w:right w:val="nil"/>
            </w:tcBorders>
            <w:vAlign w:val="bottom"/>
          </w:tcPr>
          <w:p w14:paraId="703D926B" w14:textId="77777777" w:rsidR="00660273" w:rsidRDefault="00000000">
            <w:pPr>
              <w:adjustRightInd w:val="0"/>
              <w:ind w:right="20"/>
              <w:jc w:val="right"/>
              <w:rPr>
                <w:color w:val="000000"/>
                <w:sz w:val="24"/>
                <w:szCs w:val="24"/>
              </w:rPr>
            </w:pPr>
            <w:r>
              <w:rPr>
                <w:color w:val="000000"/>
                <w:sz w:val="24"/>
                <w:szCs w:val="24"/>
              </w:rPr>
              <w:t>0.406093</w:t>
            </w:r>
          </w:p>
        </w:tc>
        <w:tc>
          <w:tcPr>
            <w:tcW w:w="1104" w:type="dxa"/>
            <w:tcBorders>
              <w:top w:val="nil"/>
              <w:left w:val="nil"/>
              <w:bottom w:val="nil"/>
              <w:right w:val="nil"/>
            </w:tcBorders>
            <w:vAlign w:val="bottom"/>
          </w:tcPr>
          <w:p w14:paraId="052708BD" w14:textId="77777777" w:rsidR="00660273" w:rsidRDefault="00000000">
            <w:pPr>
              <w:adjustRightInd w:val="0"/>
              <w:ind w:right="20"/>
              <w:jc w:val="right"/>
              <w:rPr>
                <w:color w:val="000000"/>
                <w:sz w:val="24"/>
                <w:szCs w:val="24"/>
              </w:rPr>
            </w:pPr>
            <w:r>
              <w:rPr>
                <w:color w:val="000000"/>
                <w:sz w:val="24"/>
                <w:szCs w:val="24"/>
              </w:rPr>
              <w:t>0.910291</w:t>
            </w:r>
          </w:p>
        </w:tc>
        <w:tc>
          <w:tcPr>
            <w:tcW w:w="1104" w:type="dxa"/>
            <w:tcBorders>
              <w:top w:val="nil"/>
              <w:left w:val="nil"/>
              <w:bottom w:val="nil"/>
              <w:right w:val="nil"/>
            </w:tcBorders>
            <w:vAlign w:val="bottom"/>
          </w:tcPr>
          <w:p w14:paraId="4586E37F" w14:textId="77777777" w:rsidR="00660273" w:rsidRDefault="00000000">
            <w:pPr>
              <w:adjustRightInd w:val="0"/>
              <w:ind w:right="20"/>
              <w:jc w:val="right"/>
              <w:rPr>
                <w:color w:val="000000"/>
                <w:sz w:val="24"/>
                <w:szCs w:val="24"/>
              </w:rPr>
            </w:pPr>
            <w:r>
              <w:rPr>
                <w:color w:val="000000"/>
                <w:sz w:val="24"/>
                <w:szCs w:val="24"/>
              </w:rPr>
              <w:t>2.829290</w:t>
            </w:r>
          </w:p>
        </w:tc>
        <w:tc>
          <w:tcPr>
            <w:tcW w:w="912" w:type="dxa"/>
            <w:tcBorders>
              <w:top w:val="nil"/>
              <w:left w:val="nil"/>
              <w:bottom w:val="nil"/>
              <w:right w:val="single" w:sz="4" w:space="0" w:color="auto"/>
            </w:tcBorders>
            <w:vAlign w:val="bottom"/>
          </w:tcPr>
          <w:p w14:paraId="62D258C0" w14:textId="77777777" w:rsidR="00660273" w:rsidRDefault="00000000">
            <w:pPr>
              <w:adjustRightInd w:val="0"/>
              <w:ind w:right="20"/>
              <w:jc w:val="right"/>
              <w:rPr>
                <w:color w:val="000000"/>
                <w:sz w:val="24"/>
                <w:szCs w:val="24"/>
              </w:rPr>
            </w:pPr>
            <w:r>
              <w:rPr>
                <w:color w:val="000000"/>
                <w:sz w:val="24"/>
                <w:szCs w:val="24"/>
              </w:rPr>
              <w:t>0.0059</w:t>
            </w:r>
          </w:p>
        </w:tc>
      </w:tr>
      <w:tr w:rsidR="00660273" w14:paraId="0477994C" w14:textId="77777777">
        <w:trPr>
          <w:trHeight w:hRule="exact" w:val="81"/>
          <w:jc w:val="center"/>
        </w:trPr>
        <w:tc>
          <w:tcPr>
            <w:tcW w:w="988" w:type="dxa"/>
            <w:tcBorders>
              <w:top w:val="nil"/>
              <w:left w:val="single" w:sz="4" w:space="0" w:color="auto"/>
              <w:bottom w:val="double" w:sz="6" w:space="0" w:color="auto"/>
              <w:right w:val="nil"/>
            </w:tcBorders>
            <w:vAlign w:val="bottom"/>
          </w:tcPr>
          <w:p w14:paraId="325FBD7E" w14:textId="77777777" w:rsidR="00660273" w:rsidRDefault="00660273">
            <w:pPr>
              <w:adjustRightInd w:val="0"/>
              <w:jc w:val="center"/>
              <w:rPr>
                <w:color w:val="000000"/>
                <w:sz w:val="24"/>
                <w:szCs w:val="24"/>
              </w:rPr>
            </w:pPr>
          </w:p>
        </w:tc>
        <w:tc>
          <w:tcPr>
            <w:tcW w:w="1008" w:type="dxa"/>
            <w:tcBorders>
              <w:top w:val="nil"/>
              <w:left w:val="nil"/>
              <w:bottom w:val="double" w:sz="6" w:space="0" w:color="auto"/>
              <w:right w:val="nil"/>
            </w:tcBorders>
            <w:vAlign w:val="bottom"/>
          </w:tcPr>
          <w:p w14:paraId="1DF557E1" w14:textId="77777777" w:rsidR="00660273" w:rsidRDefault="00660273">
            <w:pPr>
              <w:adjustRightInd w:val="0"/>
              <w:jc w:val="center"/>
              <w:rPr>
                <w:color w:val="000000"/>
                <w:sz w:val="24"/>
                <w:szCs w:val="24"/>
              </w:rPr>
            </w:pPr>
          </w:p>
        </w:tc>
        <w:tc>
          <w:tcPr>
            <w:tcW w:w="1104" w:type="dxa"/>
            <w:tcBorders>
              <w:top w:val="nil"/>
              <w:left w:val="nil"/>
              <w:bottom w:val="double" w:sz="6" w:space="0" w:color="auto"/>
              <w:right w:val="nil"/>
            </w:tcBorders>
            <w:vAlign w:val="bottom"/>
          </w:tcPr>
          <w:p w14:paraId="683902B1" w14:textId="77777777" w:rsidR="00660273" w:rsidRDefault="00660273">
            <w:pPr>
              <w:adjustRightInd w:val="0"/>
              <w:jc w:val="center"/>
              <w:rPr>
                <w:color w:val="000000"/>
                <w:sz w:val="24"/>
                <w:szCs w:val="24"/>
              </w:rPr>
            </w:pPr>
          </w:p>
        </w:tc>
        <w:tc>
          <w:tcPr>
            <w:tcW w:w="1104" w:type="dxa"/>
            <w:tcBorders>
              <w:top w:val="nil"/>
              <w:left w:val="nil"/>
              <w:bottom w:val="double" w:sz="6" w:space="0" w:color="auto"/>
              <w:right w:val="nil"/>
            </w:tcBorders>
            <w:vAlign w:val="bottom"/>
          </w:tcPr>
          <w:p w14:paraId="6E2923BA" w14:textId="77777777" w:rsidR="00660273" w:rsidRDefault="00660273">
            <w:pPr>
              <w:adjustRightInd w:val="0"/>
              <w:jc w:val="center"/>
              <w:rPr>
                <w:color w:val="000000"/>
                <w:sz w:val="24"/>
                <w:szCs w:val="24"/>
              </w:rPr>
            </w:pPr>
          </w:p>
        </w:tc>
        <w:tc>
          <w:tcPr>
            <w:tcW w:w="912" w:type="dxa"/>
            <w:tcBorders>
              <w:top w:val="nil"/>
              <w:left w:val="nil"/>
              <w:bottom w:val="double" w:sz="6" w:space="0" w:color="auto"/>
              <w:right w:val="single" w:sz="4" w:space="0" w:color="auto"/>
            </w:tcBorders>
            <w:vAlign w:val="bottom"/>
          </w:tcPr>
          <w:p w14:paraId="3B4C9832" w14:textId="77777777" w:rsidR="00660273" w:rsidRDefault="00660273">
            <w:pPr>
              <w:adjustRightInd w:val="0"/>
              <w:jc w:val="center"/>
              <w:rPr>
                <w:color w:val="000000"/>
                <w:sz w:val="24"/>
                <w:szCs w:val="24"/>
              </w:rPr>
            </w:pPr>
          </w:p>
        </w:tc>
      </w:tr>
      <w:tr w:rsidR="00660273" w14:paraId="6CA5B596" w14:textId="77777777">
        <w:trPr>
          <w:trHeight w:hRule="exact" w:val="122"/>
          <w:jc w:val="center"/>
        </w:trPr>
        <w:tc>
          <w:tcPr>
            <w:tcW w:w="988" w:type="dxa"/>
            <w:tcBorders>
              <w:top w:val="nil"/>
              <w:left w:val="single" w:sz="4" w:space="0" w:color="auto"/>
              <w:bottom w:val="single" w:sz="4" w:space="0" w:color="auto"/>
              <w:right w:val="nil"/>
            </w:tcBorders>
            <w:vAlign w:val="bottom"/>
          </w:tcPr>
          <w:p w14:paraId="7B40B7FF" w14:textId="77777777" w:rsidR="00660273" w:rsidRDefault="00660273">
            <w:pPr>
              <w:adjustRightInd w:val="0"/>
              <w:jc w:val="center"/>
              <w:rPr>
                <w:color w:val="000000"/>
                <w:sz w:val="24"/>
                <w:szCs w:val="24"/>
              </w:rPr>
            </w:pPr>
          </w:p>
        </w:tc>
        <w:tc>
          <w:tcPr>
            <w:tcW w:w="1008" w:type="dxa"/>
            <w:tcBorders>
              <w:top w:val="nil"/>
              <w:left w:val="nil"/>
              <w:bottom w:val="single" w:sz="4" w:space="0" w:color="auto"/>
              <w:right w:val="nil"/>
            </w:tcBorders>
            <w:vAlign w:val="bottom"/>
          </w:tcPr>
          <w:p w14:paraId="7CDFA519" w14:textId="77777777" w:rsidR="00660273" w:rsidRDefault="00660273">
            <w:pPr>
              <w:adjustRightInd w:val="0"/>
              <w:jc w:val="center"/>
              <w:rPr>
                <w:color w:val="000000"/>
                <w:sz w:val="24"/>
                <w:szCs w:val="24"/>
              </w:rPr>
            </w:pPr>
          </w:p>
        </w:tc>
        <w:tc>
          <w:tcPr>
            <w:tcW w:w="1104" w:type="dxa"/>
            <w:tcBorders>
              <w:top w:val="nil"/>
              <w:left w:val="nil"/>
              <w:bottom w:val="single" w:sz="4" w:space="0" w:color="auto"/>
              <w:right w:val="nil"/>
            </w:tcBorders>
            <w:vAlign w:val="bottom"/>
          </w:tcPr>
          <w:p w14:paraId="2ACDACD7" w14:textId="77777777" w:rsidR="00660273" w:rsidRDefault="00660273">
            <w:pPr>
              <w:adjustRightInd w:val="0"/>
              <w:jc w:val="center"/>
              <w:rPr>
                <w:color w:val="000000"/>
                <w:sz w:val="24"/>
                <w:szCs w:val="24"/>
              </w:rPr>
            </w:pPr>
          </w:p>
        </w:tc>
        <w:tc>
          <w:tcPr>
            <w:tcW w:w="1104" w:type="dxa"/>
            <w:tcBorders>
              <w:top w:val="nil"/>
              <w:left w:val="nil"/>
              <w:bottom w:val="single" w:sz="4" w:space="0" w:color="auto"/>
              <w:right w:val="nil"/>
            </w:tcBorders>
            <w:vAlign w:val="bottom"/>
          </w:tcPr>
          <w:p w14:paraId="2F6C7837" w14:textId="77777777" w:rsidR="00660273" w:rsidRDefault="00660273">
            <w:pPr>
              <w:adjustRightInd w:val="0"/>
              <w:jc w:val="center"/>
              <w:rPr>
                <w:color w:val="000000"/>
                <w:sz w:val="24"/>
                <w:szCs w:val="24"/>
              </w:rPr>
            </w:pPr>
          </w:p>
        </w:tc>
        <w:tc>
          <w:tcPr>
            <w:tcW w:w="912" w:type="dxa"/>
            <w:tcBorders>
              <w:top w:val="nil"/>
              <w:left w:val="nil"/>
              <w:bottom w:val="single" w:sz="4" w:space="0" w:color="auto"/>
              <w:right w:val="single" w:sz="4" w:space="0" w:color="auto"/>
            </w:tcBorders>
            <w:vAlign w:val="bottom"/>
          </w:tcPr>
          <w:p w14:paraId="6F4CB416" w14:textId="77777777" w:rsidR="00660273" w:rsidRDefault="00660273">
            <w:pPr>
              <w:adjustRightInd w:val="0"/>
              <w:jc w:val="center"/>
              <w:rPr>
                <w:color w:val="000000"/>
                <w:sz w:val="24"/>
                <w:szCs w:val="24"/>
              </w:rPr>
            </w:pPr>
          </w:p>
        </w:tc>
      </w:tr>
    </w:tbl>
    <w:p w14:paraId="2C34369A" w14:textId="77777777" w:rsidR="00660273" w:rsidRPr="00667172" w:rsidRDefault="00000000">
      <w:pPr>
        <w:spacing w:before="40" w:after="40"/>
        <w:ind w:right="227"/>
        <w:rPr>
          <w:color w:val="000000" w:themeColor="text1"/>
        </w:rPr>
      </w:pPr>
      <w:r w:rsidRPr="00667172">
        <w:rPr>
          <w:color w:val="000000" w:themeColor="text1"/>
          <w:lang w:val="en-US"/>
        </w:rPr>
        <w:t>Based on the regression test results, it can be concluded that</w:t>
      </w:r>
      <w:r w:rsidRPr="00667172">
        <w:rPr>
          <w:color w:val="000000" w:themeColor="text1"/>
        </w:rPr>
        <w:t>;</w:t>
      </w:r>
    </w:p>
    <w:p w14:paraId="6A1F7634" w14:textId="77777777" w:rsidR="00660273" w:rsidRPr="00667172" w:rsidRDefault="00000000" w:rsidP="00667172">
      <w:pPr>
        <w:numPr>
          <w:ilvl w:val="0"/>
          <w:numId w:val="3"/>
        </w:numPr>
        <w:spacing w:before="40" w:after="40"/>
        <w:ind w:right="227"/>
        <w:jc w:val="both"/>
        <w:rPr>
          <w:color w:val="000000" w:themeColor="text1"/>
          <w:lang w:val="en-US"/>
        </w:rPr>
      </w:pPr>
      <w:r w:rsidRPr="00667172">
        <w:rPr>
          <w:color w:val="000000" w:themeColor="text1"/>
          <w:lang w:val="en-US"/>
        </w:rPr>
        <w:t>The constant value of -0.390939 indicates that if the independent variable is considered absent, there will be an increase in Investor Reaction of -0.390939.</w:t>
      </w:r>
    </w:p>
    <w:p w14:paraId="540694F0" w14:textId="77777777" w:rsidR="00660273" w:rsidRDefault="00000000" w:rsidP="00667172">
      <w:pPr>
        <w:numPr>
          <w:ilvl w:val="0"/>
          <w:numId w:val="3"/>
        </w:numPr>
        <w:spacing w:before="40" w:after="40"/>
        <w:ind w:right="227"/>
        <w:jc w:val="both"/>
        <w:rPr>
          <w:color w:val="000000" w:themeColor="text1"/>
          <w:lang w:val="en-US"/>
        </w:rPr>
      </w:pPr>
      <w:r w:rsidRPr="00667172">
        <w:rPr>
          <w:color w:val="000000" w:themeColor="text1"/>
          <w:lang w:val="en-US"/>
        </w:rPr>
        <w:t>The regression coefficient for Carbon Emissions Disclosure is 0.406093 with a positive coefficient direction. This means that if there is a 1 unit change in the Carbon Emissions Disclosure variable, there will be an increase in the dependent variable Investor Reaction of 0.406093 assuming other variables are constant.</w:t>
      </w:r>
    </w:p>
    <w:p w14:paraId="3A971E2C" w14:textId="77777777" w:rsidR="00667172" w:rsidRPr="00667172" w:rsidRDefault="00667172" w:rsidP="00667172">
      <w:pPr>
        <w:spacing w:before="40" w:after="40"/>
        <w:ind w:right="227"/>
        <w:jc w:val="both"/>
        <w:rPr>
          <w:color w:val="000000" w:themeColor="text1"/>
          <w:lang w:val="en-US"/>
        </w:rPr>
      </w:pPr>
    </w:p>
    <w:p w14:paraId="1B8C922F" w14:textId="77777777" w:rsidR="00660273" w:rsidRPr="00667172" w:rsidRDefault="00000000">
      <w:pPr>
        <w:spacing w:before="40" w:after="40"/>
        <w:ind w:right="227"/>
        <w:jc w:val="center"/>
        <w:rPr>
          <w:b/>
          <w:bCs/>
          <w:color w:val="000000" w:themeColor="text1"/>
          <w:sz w:val="24"/>
          <w:szCs w:val="24"/>
        </w:rPr>
      </w:pPr>
      <w:r w:rsidRPr="00667172">
        <w:rPr>
          <w:b/>
          <w:bCs/>
          <w:color w:val="000000" w:themeColor="text1"/>
          <w:sz w:val="24"/>
          <w:szCs w:val="24"/>
        </w:rPr>
        <w:lastRenderedPageBreak/>
        <w:t>Table 4. Adjusted 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842"/>
        <w:gridCol w:w="1008"/>
      </w:tblGrid>
      <w:tr w:rsidR="00660273" w14:paraId="5FCAB51B" w14:textId="77777777">
        <w:trPr>
          <w:trHeight w:hRule="exact" w:val="122"/>
          <w:jc w:val="center"/>
        </w:trPr>
        <w:tc>
          <w:tcPr>
            <w:tcW w:w="1842" w:type="dxa"/>
            <w:vAlign w:val="bottom"/>
          </w:tcPr>
          <w:p w14:paraId="7AD0C420" w14:textId="77777777" w:rsidR="00660273" w:rsidRDefault="00660273">
            <w:pPr>
              <w:adjustRightInd w:val="0"/>
              <w:jc w:val="center"/>
              <w:rPr>
                <w:color w:val="000000"/>
                <w:sz w:val="24"/>
                <w:szCs w:val="24"/>
              </w:rPr>
            </w:pPr>
          </w:p>
        </w:tc>
        <w:tc>
          <w:tcPr>
            <w:tcW w:w="1008" w:type="dxa"/>
            <w:vAlign w:val="bottom"/>
          </w:tcPr>
          <w:p w14:paraId="36010287" w14:textId="77777777" w:rsidR="00660273" w:rsidRDefault="00660273">
            <w:pPr>
              <w:adjustRightInd w:val="0"/>
              <w:jc w:val="center"/>
              <w:rPr>
                <w:color w:val="000000"/>
                <w:sz w:val="24"/>
                <w:szCs w:val="24"/>
              </w:rPr>
            </w:pPr>
          </w:p>
        </w:tc>
      </w:tr>
      <w:tr w:rsidR="00660273" w14:paraId="547E1056" w14:textId="77777777">
        <w:trPr>
          <w:trHeight w:val="204"/>
          <w:jc w:val="center"/>
        </w:trPr>
        <w:tc>
          <w:tcPr>
            <w:tcW w:w="1842" w:type="dxa"/>
            <w:vAlign w:val="bottom"/>
          </w:tcPr>
          <w:p w14:paraId="7E92B242" w14:textId="77777777" w:rsidR="00660273" w:rsidRDefault="00000000">
            <w:pPr>
              <w:adjustRightInd w:val="0"/>
              <w:rPr>
                <w:color w:val="000000"/>
                <w:sz w:val="24"/>
                <w:szCs w:val="24"/>
              </w:rPr>
            </w:pPr>
            <w:r>
              <w:rPr>
                <w:color w:val="000000"/>
                <w:sz w:val="24"/>
                <w:szCs w:val="24"/>
              </w:rPr>
              <w:t>R-squared</w:t>
            </w:r>
          </w:p>
        </w:tc>
        <w:tc>
          <w:tcPr>
            <w:tcW w:w="1008" w:type="dxa"/>
            <w:vAlign w:val="bottom"/>
          </w:tcPr>
          <w:p w14:paraId="5CCD8BEE" w14:textId="77777777" w:rsidR="00660273" w:rsidRDefault="00000000">
            <w:pPr>
              <w:adjustRightInd w:val="0"/>
              <w:ind w:right="20"/>
              <w:jc w:val="right"/>
              <w:rPr>
                <w:color w:val="000000"/>
                <w:sz w:val="24"/>
                <w:szCs w:val="24"/>
              </w:rPr>
            </w:pPr>
            <w:r>
              <w:rPr>
                <w:color w:val="000000"/>
                <w:sz w:val="24"/>
                <w:szCs w:val="24"/>
              </w:rPr>
              <w:t>0.824197</w:t>
            </w:r>
          </w:p>
        </w:tc>
      </w:tr>
      <w:tr w:rsidR="00660273" w14:paraId="018CF764" w14:textId="77777777">
        <w:trPr>
          <w:trHeight w:val="204"/>
          <w:jc w:val="center"/>
        </w:trPr>
        <w:tc>
          <w:tcPr>
            <w:tcW w:w="1842" w:type="dxa"/>
            <w:vAlign w:val="bottom"/>
          </w:tcPr>
          <w:p w14:paraId="03459C25" w14:textId="77777777" w:rsidR="00660273" w:rsidRDefault="00000000">
            <w:pPr>
              <w:adjustRightInd w:val="0"/>
              <w:rPr>
                <w:color w:val="000000"/>
                <w:sz w:val="24"/>
                <w:szCs w:val="24"/>
              </w:rPr>
            </w:pPr>
            <w:r>
              <w:rPr>
                <w:color w:val="000000"/>
                <w:sz w:val="24"/>
                <w:szCs w:val="24"/>
              </w:rPr>
              <w:t>Adjusted R-squared</w:t>
            </w:r>
          </w:p>
        </w:tc>
        <w:tc>
          <w:tcPr>
            <w:tcW w:w="1008" w:type="dxa"/>
            <w:vAlign w:val="bottom"/>
          </w:tcPr>
          <w:p w14:paraId="2083F64F" w14:textId="77777777" w:rsidR="00660273" w:rsidRDefault="00000000">
            <w:pPr>
              <w:adjustRightInd w:val="0"/>
              <w:ind w:right="20"/>
              <w:jc w:val="right"/>
              <w:rPr>
                <w:color w:val="000000"/>
                <w:sz w:val="24"/>
                <w:szCs w:val="24"/>
              </w:rPr>
            </w:pPr>
            <w:r>
              <w:rPr>
                <w:color w:val="000000"/>
                <w:sz w:val="24"/>
                <w:szCs w:val="24"/>
                <w:highlight w:val="lightGray"/>
              </w:rPr>
              <w:t>0.428507</w:t>
            </w:r>
          </w:p>
        </w:tc>
      </w:tr>
      <w:tr w:rsidR="00660273" w14:paraId="485C8D93" w14:textId="77777777">
        <w:trPr>
          <w:trHeight w:val="204"/>
          <w:jc w:val="center"/>
        </w:trPr>
        <w:tc>
          <w:tcPr>
            <w:tcW w:w="1842" w:type="dxa"/>
            <w:vAlign w:val="bottom"/>
          </w:tcPr>
          <w:p w14:paraId="17FB74C6" w14:textId="77777777" w:rsidR="00660273" w:rsidRDefault="00000000">
            <w:pPr>
              <w:adjustRightInd w:val="0"/>
              <w:rPr>
                <w:color w:val="000000"/>
                <w:sz w:val="24"/>
                <w:szCs w:val="24"/>
              </w:rPr>
            </w:pPr>
            <w:r>
              <w:rPr>
                <w:color w:val="000000"/>
                <w:sz w:val="24"/>
                <w:szCs w:val="24"/>
              </w:rPr>
              <w:t>S.E. of regression</w:t>
            </w:r>
          </w:p>
        </w:tc>
        <w:tc>
          <w:tcPr>
            <w:tcW w:w="1008" w:type="dxa"/>
            <w:vAlign w:val="bottom"/>
          </w:tcPr>
          <w:p w14:paraId="24BB8150" w14:textId="77777777" w:rsidR="00660273" w:rsidRDefault="00000000">
            <w:pPr>
              <w:adjustRightInd w:val="0"/>
              <w:ind w:right="20"/>
              <w:jc w:val="right"/>
              <w:rPr>
                <w:color w:val="000000"/>
                <w:sz w:val="24"/>
                <w:szCs w:val="24"/>
              </w:rPr>
            </w:pPr>
            <w:r>
              <w:rPr>
                <w:color w:val="000000"/>
                <w:sz w:val="24"/>
                <w:szCs w:val="24"/>
              </w:rPr>
              <w:t>0.019930</w:t>
            </w:r>
          </w:p>
        </w:tc>
      </w:tr>
      <w:tr w:rsidR="00660273" w14:paraId="70F56754" w14:textId="77777777">
        <w:trPr>
          <w:trHeight w:val="204"/>
          <w:jc w:val="center"/>
        </w:trPr>
        <w:tc>
          <w:tcPr>
            <w:tcW w:w="1842" w:type="dxa"/>
            <w:vAlign w:val="bottom"/>
          </w:tcPr>
          <w:p w14:paraId="21B028BE" w14:textId="77777777" w:rsidR="00660273" w:rsidRDefault="00000000">
            <w:pPr>
              <w:adjustRightInd w:val="0"/>
              <w:rPr>
                <w:color w:val="000000"/>
                <w:sz w:val="24"/>
                <w:szCs w:val="24"/>
              </w:rPr>
            </w:pPr>
            <w:r>
              <w:rPr>
                <w:color w:val="000000"/>
                <w:sz w:val="24"/>
                <w:szCs w:val="24"/>
              </w:rPr>
              <w:t>Sum squared resid</w:t>
            </w:r>
          </w:p>
        </w:tc>
        <w:tc>
          <w:tcPr>
            <w:tcW w:w="1008" w:type="dxa"/>
            <w:vAlign w:val="bottom"/>
          </w:tcPr>
          <w:p w14:paraId="7E17C534" w14:textId="77777777" w:rsidR="00660273" w:rsidRDefault="00000000">
            <w:pPr>
              <w:adjustRightInd w:val="0"/>
              <w:ind w:right="20"/>
              <w:jc w:val="right"/>
              <w:rPr>
                <w:color w:val="000000"/>
                <w:sz w:val="24"/>
                <w:szCs w:val="24"/>
              </w:rPr>
            </w:pPr>
            <w:r>
              <w:rPr>
                <w:color w:val="000000"/>
                <w:sz w:val="24"/>
                <w:szCs w:val="24"/>
              </w:rPr>
              <w:t>0.031378</w:t>
            </w:r>
          </w:p>
        </w:tc>
      </w:tr>
      <w:tr w:rsidR="00660273" w14:paraId="1FB3103F" w14:textId="77777777">
        <w:trPr>
          <w:trHeight w:val="204"/>
          <w:jc w:val="center"/>
        </w:trPr>
        <w:tc>
          <w:tcPr>
            <w:tcW w:w="1842" w:type="dxa"/>
            <w:vAlign w:val="bottom"/>
          </w:tcPr>
          <w:p w14:paraId="118A0312" w14:textId="77777777" w:rsidR="00660273" w:rsidRDefault="00000000">
            <w:pPr>
              <w:adjustRightInd w:val="0"/>
              <w:rPr>
                <w:color w:val="000000"/>
                <w:sz w:val="24"/>
                <w:szCs w:val="24"/>
              </w:rPr>
            </w:pPr>
            <w:r>
              <w:rPr>
                <w:color w:val="000000"/>
                <w:sz w:val="24"/>
                <w:szCs w:val="24"/>
              </w:rPr>
              <w:t>Log likelihood</w:t>
            </w:r>
          </w:p>
        </w:tc>
        <w:tc>
          <w:tcPr>
            <w:tcW w:w="1008" w:type="dxa"/>
            <w:vAlign w:val="bottom"/>
          </w:tcPr>
          <w:p w14:paraId="76A47F42" w14:textId="77777777" w:rsidR="00660273" w:rsidRDefault="00000000">
            <w:pPr>
              <w:adjustRightInd w:val="0"/>
              <w:ind w:right="20"/>
              <w:jc w:val="right"/>
              <w:rPr>
                <w:color w:val="000000"/>
                <w:sz w:val="24"/>
                <w:szCs w:val="24"/>
              </w:rPr>
            </w:pPr>
            <w:r>
              <w:rPr>
                <w:color w:val="000000"/>
                <w:sz w:val="24"/>
                <w:szCs w:val="24"/>
              </w:rPr>
              <w:t>334.3117</w:t>
            </w:r>
          </w:p>
        </w:tc>
      </w:tr>
      <w:tr w:rsidR="00660273" w14:paraId="74443808" w14:textId="77777777">
        <w:trPr>
          <w:trHeight w:val="204"/>
          <w:jc w:val="center"/>
        </w:trPr>
        <w:tc>
          <w:tcPr>
            <w:tcW w:w="1842" w:type="dxa"/>
            <w:vAlign w:val="bottom"/>
          </w:tcPr>
          <w:p w14:paraId="338311BC" w14:textId="77777777" w:rsidR="00660273" w:rsidRDefault="00000000">
            <w:pPr>
              <w:adjustRightInd w:val="0"/>
              <w:rPr>
                <w:color w:val="000000"/>
                <w:sz w:val="24"/>
                <w:szCs w:val="24"/>
              </w:rPr>
            </w:pPr>
            <w:r>
              <w:rPr>
                <w:color w:val="000000"/>
                <w:sz w:val="24"/>
                <w:szCs w:val="24"/>
              </w:rPr>
              <w:t>F-statistic</w:t>
            </w:r>
          </w:p>
        </w:tc>
        <w:tc>
          <w:tcPr>
            <w:tcW w:w="1008" w:type="dxa"/>
            <w:vAlign w:val="bottom"/>
          </w:tcPr>
          <w:p w14:paraId="464C32C3" w14:textId="77777777" w:rsidR="00660273" w:rsidRDefault="00000000">
            <w:pPr>
              <w:adjustRightInd w:val="0"/>
              <w:ind w:right="20"/>
              <w:jc w:val="right"/>
              <w:rPr>
                <w:color w:val="000000"/>
                <w:sz w:val="24"/>
                <w:szCs w:val="24"/>
              </w:rPr>
            </w:pPr>
            <w:r>
              <w:rPr>
                <w:color w:val="000000"/>
                <w:sz w:val="24"/>
                <w:szCs w:val="24"/>
              </w:rPr>
              <w:t>8.613196</w:t>
            </w:r>
          </w:p>
        </w:tc>
      </w:tr>
      <w:tr w:rsidR="00660273" w14:paraId="49D8EE80" w14:textId="77777777">
        <w:trPr>
          <w:trHeight w:val="204"/>
          <w:jc w:val="center"/>
        </w:trPr>
        <w:tc>
          <w:tcPr>
            <w:tcW w:w="1842" w:type="dxa"/>
            <w:vAlign w:val="bottom"/>
          </w:tcPr>
          <w:p w14:paraId="782678E6" w14:textId="77777777" w:rsidR="00660273" w:rsidRDefault="00000000">
            <w:pPr>
              <w:adjustRightInd w:val="0"/>
              <w:rPr>
                <w:color w:val="000000"/>
                <w:sz w:val="24"/>
                <w:szCs w:val="24"/>
              </w:rPr>
            </w:pPr>
            <w:r>
              <w:rPr>
                <w:color w:val="000000"/>
                <w:sz w:val="24"/>
                <w:szCs w:val="24"/>
              </w:rPr>
              <w:t>Prob(F-statistic)</w:t>
            </w:r>
          </w:p>
        </w:tc>
        <w:tc>
          <w:tcPr>
            <w:tcW w:w="1008" w:type="dxa"/>
            <w:vAlign w:val="bottom"/>
          </w:tcPr>
          <w:p w14:paraId="76F90244" w14:textId="77777777" w:rsidR="00660273" w:rsidRDefault="00000000">
            <w:pPr>
              <w:adjustRightInd w:val="0"/>
              <w:ind w:right="20"/>
              <w:jc w:val="right"/>
              <w:rPr>
                <w:color w:val="000000"/>
                <w:sz w:val="24"/>
                <w:szCs w:val="24"/>
              </w:rPr>
            </w:pPr>
            <w:r>
              <w:rPr>
                <w:color w:val="000000"/>
                <w:sz w:val="24"/>
                <w:szCs w:val="24"/>
              </w:rPr>
              <w:t>0.000000</w:t>
            </w:r>
          </w:p>
        </w:tc>
      </w:tr>
    </w:tbl>
    <w:p w14:paraId="224291D3" w14:textId="77777777" w:rsidR="00660273" w:rsidRDefault="00000000" w:rsidP="00667172">
      <w:pPr>
        <w:spacing w:before="40" w:after="40"/>
        <w:ind w:right="227" w:firstLine="720"/>
        <w:jc w:val="both"/>
        <w:rPr>
          <w:color w:val="000000" w:themeColor="text1"/>
          <w:lang w:val="en-US"/>
        </w:rPr>
      </w:pPr>
      <w:r w:rsidRPr="00667172">
        <w:rPr>
          <w:color w:val="000000" w:themeColor="text1"/>
          <w:lang w:val="en-US"/>
        </w:rPr>
        <w:t>Table 4 shows that the adjusted R Square coefficient test result is 0.</w:t>
      </w:r>
      <w:r w:rsidRPr="00667172">
        <w:rPr>
          <w:color w:val="000000" w:themeColor="text1"/>
        </w:rPr>
        <w:t>4</w:t>
      </w:r>
      <w:r w:rsidRPr="00667172">
        <w:rPr>
          <w:color w:val="000000" w:themeColor="text1"/>
          <w:lang w:val="en-US"/>
        </w:rPr>
        <w:t xml:space="preserve">28507. This means that the magnitude of Investor Reaction can be explained by the independent variables in the Carbon Disclosure study, which is </w:t>
      </w:r>
      <w:r w:rsidRPr="00667172">
        <w:rPr>
          <w:color w:val="000000" w:themeColor="text1"/>
        </w:rPr>
        <w:t>4</w:t>
      </w:r>
      <w:r w:rsidRPr="00667172">
        <w:rPr>
          <w:color w:val="000000" w:themeColor="text1"/>
          <w:lang w:val="en-US"/>
        </w:rPr>
        <w:t>2.85%. The rest is explained by other variables outside this study.</w:t>
      </w:r>
    </w:p>
    <w:p w14:paraId="5361F5A7" w14:textId="77777777" w:rsidR="00667172" w:rsidRPr="00667172" w:rsidRDefault="00667172" w:rsidP="00667172">
      <w:pPr>
        <w:spacing w:before="40" w:after="40"/>
        <w:ind w:right="227" w:firstLine="720"/>
        <w:jc w:val="both"/>
        <w:rPr>
          <w:color w:val="000000" w:themeColor="text1"/>
          <w:lang w:val="en-US"/>
        </w:rPr>
      </w:pPr>
    </w:p>
    <w:p w14:paraId="6EE0FFA6" w14:textId="77777777" w:rsidR="00660273" w:rsidRPr="00667172" w:rsidRDefault="00000000">
      <w:pPr>
        <w:spacing w:before="40" w:after="40"/>
        <w:ind w:right="227" w:firstLine="720"/>
        <w:jc w:val="center"/>
        <w:rPr>
          <w:b/>
          <w:bCs/>
          <w:color w:val="000000" w:themeColor="text1"/>
          <w:sz w:val="24"/>
          <w:szCs w:val="24"/>
        </w:rPr>
      </w:pPr>
      <w:r w:rsidRPr="00667172">
        <w:rPr>
          <w:b/>
          <w:bCs/>
          <w:color w:val="000000" w:themeColor="text1"/>
          <w:sz w:val="24"/>
          <w:szCs w:val="24"/>
        </w:rPr>
        <w:t>Table 5. T Test</w:t>
      </w:r>
    </w:p>
    <w:tbl>
      <w:tblPr>
        <w:tblW w:w="0" w:type="auto"/>
        <w:jc w:val="center"/>
        <w:tblLayout w:type="fixed"/>
        <w:tblCellMar>
          <w:left w:w="0" w:type="dxa"/>
          <w:right w:w="0" w:type="dxa"/>
        </w:tblCellMar>
        <w:tblLook w:val="04A0" w:firstRow="1" w:lastRow="0" w:firstColumn="1" w:lastColumn="0" w:noHBand="0" w:noVBand="1"/>
      </w:tblPr>
      <w:tblGrid>
        <w:gridCol w:w="1852"/>
        <w:gridCol w:w="1008"/>
        <w:gridCol w:w="1104"/>
        <w:gridCol w:w="1104"/>
        <w:gridCol w:w="912"/>
      </w:tblGrid>
      <w:tr w:rsidR="00660273" w14:paraId="0B6DDAEC" w14:textId="77777777">
        <w:trPr>
          <w:trHeight w:val="204"/>
          <w:jc w:val="center"/>
        </w:trPr>
        <w:tc>
          <w:tcPr>
            <w:tcW w:w="1852" w:type="dxa"/>
            <w:tcBorders>
              <w:top w:val="single" w:sz="4" w:space="0" w:color="auto"/>
              <w:left w:val="single" w:sz="4" w:space="0" w:color="auto"/>
              <w:bottom w:val="nil"/>
              <w:right w:val="nil"/>
            </w:tcBorders>
            <w:vAlign w:val="bottom"/>
          </w:tcPr>
          <w:p w14:paraId="48BC85C1" w14:textId="77777777" w:rsidR="00660273" w:rsidRDefault="00000000">
            <w:pPr>
              <w:adjustRightInd w:val="0"/>
              <w:rPr>
                <w:color w:val="000000"/>
                <w:sz w:val="24"/>
                <w:szCs w:val="24"/>
              </w:rPr>
            </w:pPr>
            <w:r>
              <w:rPr>
                <w:color w:val="000000"/>
                <w:sz w:val="24"/>
                <w:szCs w:val="24"/>
              </w:rPr>
              <w:t>Variable</w:t>
            </w:r>
          </w:p>
        </w:tc>
        <w:tc>
          <w:tcPr>
            <w:tcW w:w="1008" w:type="dxa"/>
            <w:tcBorders>
              <w:top w:val="single" w:sz="4" w:space="0" w:color="auto"/>
              <w:left w:val="nil"/>
              <w:bottom w:val="nil"/>
              <w:right w:val="nil"/>
            </w:tcBorders>
            <w:vAlign w:val="bottom"/>
          </w:tcPr>
          <w:p w14:paraId="03642019" w14:textId="77777777" w:rsidR="00660273" w:rsidRDefault="00000000">
            <w:pPr>
              <w:adjustRightInd w:val="0"/>
              <w:ind w:right="20"/>
              <w:jc w:val="right"/>
              <w:rPr>
                <w:color w:val="000000"/>
                <w:sz w:val="24"/>
                <w:szCs w:val="24"/>
              </w:rPr>
            </w:pPr>
            <w:r>
              <w:rPr>
                <w:color w:val="000000"/>
                <w:sz w:val="24"/>
                <w:szCs w:val="24"/>
              </w:rPr>
              <w:t>Coefficient</w:t>
            </w:r>
          </w:p>
        </w:tc>
        <w:tc>
          <w:tcPr>
            <w:tcW w:w="1104" w:type="dxa"/>
            <w:tcBorders>
              <w:top w:val="single" w:sz="4" w:space="0" w:color="auto"/>
              <w:left w:val="nil"/>
              <w:bottom w:val="nil"/>
              <w:right w:val="nil"/>
            </w:tcBorders>
            <w:vAlign w:val="bottom"/>
          </w:tcPr>
          <w:p w14:paraId="33301089" w14:textId="77777777" w:rsidR="00660273" w:rsidRDefault="00000000">
            <w:pPr>
              <w:adjustRightInd w:val="0"/>
              <w:ind w:right="20"/>
              <w:jc w:val="right"/>
              <w:rPr>
                <w:color w:val="000000"/>
                <w:sz w:val="24"/>
                <w:szCs w:val="24"/>
              </w:rPr>
            </w:pPr>
            <w:r>
              <w:rPr>
                <w:color w:val="000000"/>
                <w:sz w:val="24"/>
                <w:szCs w:val="24"/>
              </w:rPr>
              <w:t>Std. Error</w:t>
            </w:r>
          </w:p>
        </w:tc>
        <w:tc>
          <w:tcPr>
            <w:tcW w:w="1104" w:type="dxa"/>
            <w:tcBorders>
              <w:top w:val="single" w:sz="4" w:space="0" w:color="auto"/>
              <w:left w:val="nil"/>
              <w:bottom w:val="nil"/>
              <w:right w:val="nil"/>
            </w:tcBorders>
            <w:vAlign w:val="bottom"/>
          </w:tcPr>
          <w:p w14:paraId="55F72D1D" w14:textId="77777777" w:rsidR="00660273" w:rsidRDefault="00000000">
            <w:pPr>
              <w:adjustRightInd w:val="0"/>
              <w:ind w:right="20"/>
              <w:jc w:val="right"/>
              <w:rPr>
                <w:color w:val="000000"/>
                <w:sz w:val="24"/>
                <w:szCs w:val="24"/>
              </w:rPr>
            </w:pPr>
            <w:r>
              <w:rPr>
                <w:color w:val="000000"/>
                <w:sz w:val="24"/>
                <w:szCs w:val="24"/>
              </w:rPr>
              <w:t>t-Statistic</w:t>
            </w:r>
          </w:p>
        </w:tc>
        <w:tc>
          <w:tcPr>
            <w:tcW w:w="912" w:type="dxa"/>
            <w:tcBorders>
              <w:top w:val="single" w:sz="4" w:space="0" w:color="auto"/>
              <w:left w:val="nil"/>
              <w:bottom w:val="nil"/>
              <w:right w:val="single" w:sz="4" w:space="0" w:color="auto"/>
            </w:tcBorders>
            <w:vAlign w:val="bottom"/>
          </w:tcPr>
          <w:p w14:paraId="068A871B" w14:textId="77777777" w:rsidR="00660273" w:rsidRDefault="00000000">
            <w:pPr>
              <w:adjustRightInd w:val="0"/>
              <w:ind w:right="20"/>
              <w:jc w:val="right"/>
              <w:rPr>
                <w:color w:val="000000"/>
                <w:sz w:val="24"/>
                <w:szCs w:val="24"/>
              </w:rPr>
            </w:pPr>
            <w:r>
              <w:rPr>
                <w:color w:val="000000"/>
                <w:sz w:val="24"/>
                <w:szCs w:val="24"/>
              </w:rPr>
              <w:t>Prob.  </w:t>
            </w:r>
          </w:p>
        </w:tc>
      </w:tr>
      <w:tr w:rsidR="00660273" w14:paraId="7DD2BBA9" w14:textId="77777777">
        <w:trPr>
          <w:trHeight w:hRule="exact" w:val="81"/>
          <w:jc w:val="center"/>
        </w:trPr>
        <w:tc>
          <w:tcPr>
            <w:tcW w:w="1852" w:type="dxa"/>
            <w:tcBorders>
              <w:top w:val="nil"/>
              <w:left w:val="single" w:sz="4" w:space="0" w:color="auto"/>
              <w:bottom w:val="double" w:sz="6" w:space="0" w:color="auto"/>
              <w:right w:val="nil"/>
            </w:tcBorders>
            <w:vAlign w:val="bottom"/>
          </w:tcPr>
          <w:p w14:paraId="1074477C" w14:textId="77777777" w:rsidR="00660273" w:rsidRDefault="00660273">
            <w:pPr>
              <w:adjustRightInd w:val="0"/>
              <w:rPr>
                <w:color w:val="000000"/>
                <w:sz w:val="24"/>
                <w:szCs w:val="24"/>
              </w:rPr>
            </w:pPr>
          </w:p>
        </w:tc>
        <w:tc>
          <w:tcPr>
            <w:tcW w:w="1008" w:type="dxa"/>
            <w:tcBorders>
              <w:top w:val="nil"/>
              <w:left w:val="nil"/>
              <w:bottom w:val="double" w:sz="6" w:space="0" w:color="auto"/>
              <w:right w:val="nil"/>
            </w:tcBorders>
            <w:vAlign w:val="bottom"/>
          </w:tcPr>
          <w:p w14:paraId="57E718EB" w14:textId="77777777" w:rsidR="00660273" w:rsidRDefault="00660273">
            <w:pPr>
              <w:adjustRightInd w:val="0"/>
              <w:rPr>
                <w:color w:val="000000"/>
                <w:sz w:val="24"/>
                <w:szCs w:val="24"/>
              </w:rPr>
            </w:pPr>
          </w:p>
        </w:tc>
        <w:tc>
          <w:tcPr>
            <w:tcW w:w="1104" w:type="dxa"/>
            <w:tcBorders>
              <w:top w:val="nil"/>
              <w:left w:val="nil"/>
              <w:bottom w:val="double" w:sz="6" w:space="0" w:color="auto"/>
              <w:right w:val="nil"/>
            </w:tcBorders>
            <w:vAlign w:val="bottom"/>
          </w:tcPr>
          <w:p w14:paraId="57B3C40A" w14:textId="77777777" w:rsidR="00660273" w:rsidRDefault="00660273">
            <w:pPr>
              <w:adjustRightInd w:val="0"/>
              <w:rPr>
                <w:color w:val="000000"/>
                <w:sz w:val="24"/>
                <w:szCs w:val="24"/>
              </w:rPr>
            </w:pPr>
          </w:p>
        </w:tc>
        <w:tc>
          <w:tcPr>
            <w:tcW w:w="1104" w:type="dxa"/>
            <w:tcBorders>
              <w:top w:val="nil"/>
              <w:left w:val="nil"/>
              <w:bottom w:val="double" w:sz="6" w:space="0" w:color="auto"/>
              <w:right w:val="nil"/>
            </w:tcBorders>
            <w:vAlign w:val="bottom"/>
          </w:tcPr>
          <w:p w14:paraId="26749737" w14:textId="77777777" w:rsidR="00660273" w:rsidRDefault="00660273">
            <w:pPr>
              <w:adjustRightInd w:val="0"/>
              <w:rPr>
                <w:color w:val="000000"/>
                <w:sz w:val="24"/>
                <w:szCs w:val="24"/>
              </w:rPr>
            </w:pPr>
          </w:p>
        </w:tc>
        <w:tc>
          <w:tcPr>
            <w:tcW w:w="912" w:type="dxa"/>
            <w:tcBorders>
              <w:top w:val="nil"/>
              <w:left w:val="nil"/>
              <w:bottom w:val="double" w:sz="6" w:space="0" w:color="auto"/>
              <w:right w:val="single" w:sz="4" w:space="0" w:color="auto"/>
            </w:tcBorders>
            <w:vAlign w:val="bottom"/>
          </w:tcPr>
          <w:p w14:paraId="61D9DBD1" w14:textId="77777777" w:rsidR="00660273" w:rsidRDefault="00660273">
            <w:pPr>
              <w:adjustRightInd w:val="0"/>
              <w:rPr>
                <w:color w:val="000000"/>
                <w:sz w:val="24"/>
                <w:szCs w:val="24"/>
              </w:rPr>
            </w:pPr>
          </w:p>
        </w:tc>
      </w:tr>
      <w:tr w:rsidR="00660273" w14:paraId="373535FB" w14:textId="77777777">
        <w:trPr>
          <w:trHeight w:hRule="exact" w:val="122"/>
          <w:jc w:val="center"/>
        </w:trPr>
        <w:tc>
          <w:tcPr>
            <w:tcW w:w="1852" w:type="dxa"/>
            <w:tcBorders>
              <w:top w:val="nil"/>
              <w:left w:val="single" w:sz="4" w:space="0" w:color="auto"/>
              <w:bottom w:val="nil"/>
              <w:right w:val="nil"/>
            </w:tcBorders>
            <w:vAlign w:val="bottom"/>
          </w:tcPr>
          <w:p w14:paraId="18764153" w14:textId="77777777" w:rsidR="00660273" w:rsidRDefault="00660273">
            <w:pPr>
              <w:adjustRightInd w:val="0"/>
              <w:rPr>
                <w:color w:val="000000"/>
                <w:sz w:val="24"/>
                <w:szCs w:val="24"/>
              </w:rPr>
            </w:pPr>
          </w:p>
        </w:tc>
        <w:tc>
          <w:tcPr>
            <w:tcW w:w="1008" w:type="dxa"/>
            <w:tcBorders>
              <w:top w:val="nil"/>
              <w:left w:val="nil"/>
              <w:bottom w:val="nil"/>
              <w:right w:val="nil"/>
            </w:tcBorders>
            <w:vAlign w:val="bottom"/>
          </w:tcPr>
          <w:p w14:paraId="0BB4DB9B" w14:textId="77777777" w:rsidR="00660273" w:rsidRDefault="00660273">
            <w:pPr>
              <w:adjustRightInd w:val="0"/>
              <w:rPr>
                <w:color w:val="000000"/>
                <w:sz w:val="24"/>
                <w:szCs w:val="24"/>
              </w:rPr>
            </w:pPr>
          </w:p>
        </w:tc>
        <w:tc>
          <w:tcPr>
            <w:tcW w:w="1104" w:type="dxa"/>
            <w:tcBorders>
              <w:top w:val="nil"/>
              <w:left w:val="nil"/>
              <w:bottom w:val="nil"/>
              <w:right w:val="nil"/>
            </w:tcBorders>
            <w:vAlign w:val="bottom"/>
          </w:tcPr>
          <w:p w14:paraId="3459839B" w14:textId="77777777" w:rsidR="00660273" w:rsidRDefault="00660273">
            <w:pPr>
              <w:adjustRightInd w:val="0"/>
              <w:rPr>
                <w:color w:val="000000"/>
                <w:sz w:val="24"/>
                <w:szCs w:val="24"/>
              </w:rPr>
            </w:pPr>
          </w:p>
        </w:tc>
        <w:tc>
          <w:tcPr>
            <w:tcW w:w="1104" w:type="dxa"/>
            <w:tcBorders>
              <w:top w:val="nil"/>
              <w:left w:val="nil"/>
              <w:bottom w:val="nil"/>
              <w:right w:val="nil"/>
            </w:tcBorders>
            <w:vAlign w:val="bottom"/>
          </w:tcPr>
          <w:p w14:paraId="691A90EC" w14:textId="77777777" w:rsidR="00660273" w:rsidRDefault="00660273">
            <w:pPr>
              <w:adjustRightInd w:val="0"/>
              <w:rPr>
                <w:color w:val="000000"/>
                <w:sz w:val="24"/>
                <w:szCs w:val="24"/>
              </w:rPr>
            </w:pPr>
          </w:p>
        </w:tc>
        <w:tc>
          <w:tcPr>
            <w:tcW w:w="912" w:type="dxa"/>
            <w:tcBorders>
              <w:top w:val="nil"/>
              <w:left w:val="nil"/>
              <w:bottom w:val="nil"/>
              <w:right w:val="single" w:sz="4" w:space="0" w:color="auto"/>
            </w:tcBorders>
            <w:vAlign w:val="bottom"/>
          </w:tcPr>
          <w:p w14:paraId="3B368FBE" w14:textId="77777777" w:rsidR="00660273" w:rsidRDefault="00660273">
            <w:pPr>
              <w:adjustRightInd w:val="0"/>
              <w:rPr>
                <w:color w:val="000000"/>
                <w:sz w:val="24"/>
                <w:szCs w:val="24"/>
              </w:rPr>
            </w:pPr>
          </w:p>
        </w:tc>
      </w:tr>
      <w:tr w:rsidR="00660273" w14:paraId="536C4A15" w14:textId="77777777">
        <w:trPr>
          <w:trHeight w:val="204"/>
          <w:jc w:val="center"/>
        </w:trPr>
        <w:tc>
          <w:tcPr>
            <w:tcW w:w="1852" w:type="dxa"/>
            <w:tcBorders>
              <w:top w:val="nil"/>
              <w:left w:val="single" w:sz="4" w:space="0" w:color="auto"/>
              <w:bottom w:val="nil"/>
              <w:right w:val="nil"/>
            </w:tcBorders>
            <w:vAlign w:val="bottom"/>
          </w:tcPr>
          <w:p w14:paraId="0F649C61" w14:textId="77777777" w:rsidR="00660273" w:rsidRDefault="00000000">
            <w:pPr>
              <w:adjustRightInd w:val="0"/>
              <w:rPr>
                <w:color w:val="000000"/>
                <w:sz w:val="24"/>
                <w:szCs w:val="24"/>
              </w:rPr>
            </w:pPr>
            <w:r>
              <w:rPr>
                <w:color w:val="000000"/>
                <w:sz w:val="24"/>
                <w:szCs w:val="24"/>
              </w:rPr>
              <w:t>C</w:t>
            </w:r>
          </w:p>
        </w:tc>
        <w:tc>
          <w:tcPr>
            <w:tcW w:w="1008" w:type="dxa"/>
            <w:tcBorders>
              <w:top w:val="nil"/>
              <w:left w:val="nil"/>
              <w:bottom w:val="nil"/>
              <w:right w:val="nil"/>
            </w:tcBorders>
            <w:vAlign w:val="bottom"/>
          </w:tcPr>
          <w:p w14:paraId="21CFDF93" w14:textId="77777777" w:rsidR="00660273" w:rsidRDefault="00000000">
            <w:pPr>
              <w:adjustRightInd w:val="0"/>
              <w:ind w:right="20"/>
              <w:jc w:val="right"/>
              <w:rPr>
                <w:color w:val="000000"/>
                <w:sz w:val="24"/>
                <w:szCs w:val="24"/>
              </w:rPr>
            </w:pPr>
            <w:r>
              <w:rPr>
                <w:color w:val="000000"/>
                <w:sz w:val="24"/>
                <w:szCs w:val="24"/>
              </w:rPr>
              <w:t>-0.390939</w:t>
            </w:r>
          </w:p>
        </w:tc>
        <w:tc>
          <w:tcPr>
            <w:tcW w:w="1104" w:type="dxa"/>
            <w:tcBorders>
              <w:top w:val="nil"/>
              <w:left w:val="nil"/>
              <w:bottom w:val="nil"/>
              <w:right w:val="nil"/>
            </w:tcBorders>
            <w:vAlign w:val="bottom"/>
          </w:tcPr>
          <w:p w14:paraId="3EC0D5EE" w14:textId="77777777" w:rsidR="00660273" w:rsidRDefault="00000000">
            <w:pPr>
              <w:adjustRightInd w:val="0"/>
              <w:ind w:right="20"/>
              <w:jc w:val="right"/>
              <w:rPr>
                <w:color w:val="000000"/>
                <w:sz w:val="24"/>
                <w:szCs w:val="24"/>
              </w:rPr>
            </w:pPr>
            <w:r>
              <w:rPr>
                <w:color w:val="000000"/>
                <w:sz w:val="24"/>
                <w:szCs w:val="24"/>
              </w:rPr>
              <w:t>0.107222</w:t>
            </w:r>
          </w:p>
        </w:tc>
        <w:tc>
          <w:tcPr>
            <w:tcW w:w="1104" w:type="dxa"/>
            <w:tcBorders>
              <w:top w:val="nil"/>
              <w:left w:val="nil"/>
              <w:bottom w:val="nil"/>
              <w:right w:val="nil"/>
            </w:tcBorders>
            <w:vAlign w:val="bottom"/>
          </w:tcPr>
          <w:p w14:paraId="06DBE8E6" w14:textId="77777777" w:rsidR="00660273" w:rsidRDefault="00000000">
            <w:pPr>
              <w:adjustRightInd w:val="0"/>
              <w:ind w:right="20"/>
              <w:jc w:val="right"/>
              <w:rPr>
                <w:color w:val="000000"/>
                <w:sz w:val="24"/>
                <w:szCs w:val="24"/>
              </w:rPr>
            </w:pPr>
            <w:r>
              <w:rPr>
                <w:color w:val="000000"/>
                <w:sz w:val="24"/>
                <w:szCs w:val="24"/>
              </w:rPr>
              <w:t>-1.738351</w:t>
            </w:r>
          </w:p>
        </w:tc>
        <w:tc>
          <w:tcPr>
            <w:tcW w:w="912" w:type="dxa"/>
            <w:tcBorders>
              <w:top w:val="nil"/>
              <w:left w:val="nil"/>
              <w:bottom w:val="nil"/>
              <w:right w:val="single" w:sz="4" w:space="0" w:color="auto"/>
            </w:tcBorders>
            <w:vAlign w:val="bottom"/>
          </w:tcPr>
          <w:p w14:paraId="3D828670" w14:textId="77777777" w:rsidR="00660273" w:rsidRDefault="00000000">
            <w:pPr>
              <w:adjustRightInd w:val="0"/>
              <w:ind w:right="20"/>
              <w:jc w:val="right"/>
              <w:rPr>
                <w:color w:val="000000"/>
                <w:sz w:val="24"/>
                <w:szCs w:val="24"/>
              </w:rPr>
            </w:pPr>
            <w:r>
              <w:rPr>
                <w:color w:val="000000"/>
                <w:sz w:val="24"/>
                <w:szCs w:val="24"/>
              </w:rPr>
              <w:t>0.1860</w:t>
            </w:r>
          </w:p>
        </w:tc>
      </w:tr>
      <w:tr w:rsidR="00660273" w14:paraId="5591C23D" w14:textId="77777777">
        <w:trPr>
          <w:trHeight w:val="204"/>
          <w:jc w:val="center"/>
        </w:trPr>
        <w:tc>
          <w:tcPr>
            <w:tcW w:w="1852" w:type="dxa"/>
            <w:tcBorders>
              <w:top w:val="nil"/>
              <w:left w:val="single" w:sz="4" w:space="0" w:color="auto"/>
              <w:bottom w:val="nil"/>
              <w:right w:val="nil"/>
            </w:tcBorders>
            <w:vAlign w:val="bottom"/>
          </w:tcPr>
          <w:p w14:paraId="7C62E7D5" w14:textId="77777777" w:rsidR="00660273" w:rsidRDefault="00000000">
            <w:pPr>
              <w:adjustRightInd w:val="0"/>
              <w:rPr>
                <w:color w:val="000000"/>
                <w:sz w:val="24"/>
                <w:szCs w:val="24"/>
              </w:rPr>
            </w:pPr>
            <w:r>
              <w:rPr>
                <w:color w:val="000000"/>
                <w:sz w:val="24"/>
                <w:szCs w:val="24"/>
              </w:rPr>
              <w:t>CED</w:t>
            </w:r>
          </w:p>
        </w:tc>
        <w:tc>
          <w:tcPr>
            <w:tcW w:w="1008" w:type="dxa"/>
            <w:tcBorders>
              <w:top w:val="nil"/>
              <w:left w:val="nil"/>
              <w:bottom w:val="nil"/>
              <w:right w:val="nil"/>
            </w:tcBorders>
            <w:vAlign w:val="bottom"/>
          </w:tcPr>
          <w:p w14:paraId="7964DF45" w14:textId="77777777" w:rsidR="00660273" w:rsidRDefault="00000000">
            <w:pPr>
              <w:adjustRightInd w:val="0"/>
              <w:ind w:right="20"/>
              <w:jc w:val="right"/>
              <w:rPr>
                <w:color w:val="000000"/>
                <w:sz w:val="24"/>
                <w:szCs w:val="24"/>
              </w:rPr>
            </w:pPr>
            <w:r>
              <w:rPr>
                <w:color w:val="000000"/>
                <w:sz w:val="24"/>
                <w:szCs w:val="24"/>
              </w:rPr>
              <w:t>0.406093</w:t>
            </w:r>
          </w:p>
        </w:tc>
        <w:tc>
          <w:tcPr>
            <w:tcW w:w="1104" w:type="dxa"/>
            <w:tcBorders>
              <w:top w:val="nil"/>
              <w:left w:val="nil"/>
              <w:bottom w:val="nil"/>
              <w:right w:val="nil"/>
            </w:tcBorders>
            <w:vAlign w:val="bottom"/>
          </w:tcPr>
          <w:p w14:paraId="2DD654E0" w14:textId="77777777" w:rsidR="00660273" w:rsidRDefault="00000000">
            <w:pPr>
              <w:adjustRightInd w:val="0"/>
              <w:ind w:right="20"/>
              <w:jc w:val="right"/>
              <w:rPr>
                <w:color w:val="000000"/>
                <w:sz w:val="24"/>
                <w:szCs w:val="24"/>
              </w:rPr>
            </w:pPr>
            <w:r>
              <w:rPr>
                <w:color w:val="000000"/>
                <w:sz w:val="24"/>
                <w:szCs w:val="24"/>
              </w:rPr>
              <w:t>0.910291</w:t>
            </w:r>
          </w:p>
        </w:tc>
        <w:tc>
          <w:tcPr>
            <w:tcW w:w="1104" w:type="dxa"/>
            <w:tcBorders>
              <w:top w:val="nil"/>
              <w:left w:val="nil"/>
              <w:bottom w:val="nil"/>
              <w:right w:val="nil"/>
            </w:tcBorders>
            <w:vAlign w:val="bottom"/>
          </w:tcPr>
          <w:p w14:paraId="1282E421" w14:textId="77777777" w:rsidR="00660273" w:rsidRDefault="00000000">
            <w:pPr>
              <w:adjustRightInd w:val="0"/>
              <w:ind w:right="20"/>
              <w:jc w:val="right"/>
              <w:rPr>
                <w:color w:val="000000"/>
                <w:sz w:val="24"/>
                <w:szCs w:val="24"/>
              </w:rPr>
            </w:pPr>
            <w:r>
              <w:rPr>
                <w:color w:val="000000"/>
                <w:sz w:val="24"/>
                <w:szCs w:val="24"/>
              </w:rPr>
              <w:t>2.829290</w:t>
            </w:r>
          </w:p>
        </w:tc>
        <w:tc>
          <w:tcPr>
            <w:tcW w:w="912" w:type="dxa"/>
            <w:tcBorders>
              <w:top w:val="nil"/>
              <w:left w:val="nil"/>
              <w:bottom w:val="nil"/>
              <w:right w:val="single" w:sz="4" w:space="0" w:color="auto"/>
            </w:tcBorders>
            <w:vAlign w:val="bottom"/>
          </w:tcPr>
          <w:p w14:paraId="427675CB" w14:textId="77777777" w:rsidR="00660273" w:rsidRDefault="00000000">
            <w:pPr>
              <w:adjustRightInd w:val="0"/>
              <w:ind w:right="20"/>
              <w:jc w:val="right"/>
              <w:rPr>
                <w:color w:val="000000"/>
                <w:sz w:val="24"/>
                <w:szCs w:val="24"/>
              </w:rPr>
            </w:pPr>
            <w:r>
              <w:rPr>
                <w:color w:val="000000"/>
                <w:sz w:val="24"/>
                <w:szCs w:val="24"/>
              </w:rPr>
              <w:t>0.0059</w:t>
            </w:r>
          </w:p>
        </w:tc>
      </w:tr>
      <w:tr w:rsidR="00660273" w14:paraId="49A3C3EF" w14:textId="77777777">
        <w:trPr>
          <w:trHeight w:hRule="exact" w:val="81"/>
          <w:jc w:val="center"/>
        </w:trPr>
        <w:tc>
          <w:tcPr>
            <w:tcW w:w="1852" w:type="dxa"/>
            <w:tcBorders>
              <w:top w:val="nil"/>
              <w:left w:val="single" w:sz="4" w:space="0" w:color="auto"/>
              <w:bottom w:val="double" w:sz="6" w:space="0" w:color="auto"/>
              <w:right w:val="nil"/>
            </w:tcBorders>
            <w:vAlign w:val="bottom"/>
          </w:tcPr>
          <w:p w14:paraId="53D581AA" w14:textId="77777777" w:rsidR="00660273" w:rsidRDefault="00660273">
            <w:pPr>
              <w:adjustRightInd w:val="0"/>
              <w:rPr>
                <w:color w:val="000000"/>
                <w:sz w:val="24"/>
                <w:szCs w:val="24"/>
              </w:rPr>
            </w:pPr>
          </w:p>
        </w:tc>
        <w:tc>
          <w:tcPr>
            <w:tcW w:w="1008" w:type="dxa"/>
            <w:tcBorders>
              <w:top w:val="nil"/>
              <w:left w:val="nil"/>
              <w:bottom w:val="double" w:sz="6" w:space="0" w:color="auto"/>
              <w:right w:val="nil"/>
            </w:tcBorders>
            <w:vAlign w:val="bottom"/>
          </w:tcPr>
          <w:p w14:paraId="40DC38FD" w14:textId="77777777" w:rsidR="00660273" w:rsidRDefault="00660273">
            <w:pPr>
              <w:adjustRightInd w:val="0"/>
              <w:rPr>
                <w:color w:val="000000"/>
                <w:sz w:val="24"/>
                <w:szCs w:val="24"/>
              </w:rPr>
            </w:pPr>
          </w:p>
        </w:tc>
        <w:tc>
          <w:tcPr>
            <w:tcW w:w="1104" w:type="dxa"/>
            <w:tcBorders>
              <w:top w:val="nil"/>
              <w:left w:val="nil"/>
              <w:bottom w:val="double" w:sz="6" w:space="0" w:color="auto"/>
              <w:right w:val="nil"/>
            </w:tcBorders>
            <w:vAlign w:val="bottom"/>
          </w:tcPr>
          <w:p w14:paraId="5B8320C5" w14:textId="77777777" w:rsidR="00660273" w:rsidRDefault="00660273">
            <w:pPr>
              <w:adjustRightInd w:val="0"/>
              <w:rPr>
                <w:color w:val="000000"/>
                <w:sz w:val="24"/>
                <w:szCs w:val="24"/>
              </w:rPr>
            </w:pPr>
          </w:p>
        </w:tc>
        <w:tc>
          <w:tcPr>
            <w:tcW w:w="1104" w:type="dxa"/>
            <w:tcBorders>
              <w:top w:val="nil"/>
              <w:left w:val="nil"/>
              <w:bottom w:val="double" w:sz="6" w:space="0" w:color="auto"/>
              <w:right w:val="nil"/>
            </w:tcBorders>
            <w:vAlign w:val="bottom"/>
          </w:tcPr>
          <w:p w14:paraId="508CFDC2" w14:textId="77777777" w:rsidR="00660273" w:rsidRDefault="00660273">
            <w:pPr>
              <w:adjustRightInd w:val="0"/>
              <w:rPr>
                <w:color w:val="000000"/>
                <w:sz w:val="24"/>
                <w:szCs w:val="24"/>
              </w:rPr>
            </w:pPr>
          </w:p>
        </w:tc>
        <w:tc>
          <w:tcPr>
            <w:tcW w:w="912" w:type="dxa"/>
            <w:tcBorders>
              <w:top w:val="nil"/>
              <w:left w:val="nil"/>
              <w:bottom w:val="double" w:sz="6" w:space="0" w:color="auto"/>
              <w:right w:val="single" w:sz="4" w:space="0" w:color="auto"/>
            </w:tcBorders>
            <w:vAlign w:val="bottom"/>
          </w:tcPr>
          <w:p w14:paraId="4BEFCD4C" w14:textId="77777777" w:rsidR="00660273" w:rsidRDefault="00660273">
            <w:pPr>
              <w:adjustRightInd w:val="0"/>
              <w:rPr>
                <w:color w:val="000000"/>
                <w:sz w:val="24"/>
                <w:szCs w:val="24"/>
              </w:rPr>
            </w:pPr>
          </w:p>
        </w:tc>
      </w:tr>
      <w:tr w:rsidR="00660273" w14:paraId="59636547" w14:textId="77777777">
        <w:trPr>
          <w:trHeight w:hRule="exact" w:val="122"/>
          <w:jc w:val="center"/>
        </w:trPr>
        <w:tc>
          <w:tcPr>
            <w:tcW w:w="1852" w:type="dxa"/>
            <w:tcBorders>
              <w:top w:val="nil"/>
              <w:left w:val="single" w:sz="4" w:space="0" w:color="auto"/>
              <w:bottom w:val="single" w:sz="4" w:space="0" w:color="auto"/>
              <w:right w:val="nil"/>
            </w:tcBorders>
            <w:vAlign w:val="bottom"/>
          </w:tcPr>
          <w:p w14:paraId="2AA0942C" w14:textId="77777777" w:rsidR="00660273" w:rsidRDefault="00660273">
            <w:pPr>
              <w:adjustRightInd w:val="0"/>
              <w:rPr>
                <w:color w:val="000000"/>
                <w:sz w:val="24"/>
                <w:szCs w:val="24"/>
              </w:rPr>
            </w:pPr>
          </w:p>
        </w:tc>
        <w:tc>
          <w:tcPr>
            <w:tcW w:w="1008" w:type="dxa"/>
            <w:tcBorders>
              <w:top w:val="nil"/>
              <w:left w:val="nil"/>
              <w:bottom w:val="single" w:sz="4" w:space="0" w:color="auto"/>
              <w:right w:val="nil"/>
            </w:tcBorders>
            <w:vAlign w:val="bottom"/>
          </w:tcPr>
          <w:p w14:paraId="6D61287C" w14:textId="77777777" w:rsidR="00660273" w:rsidRDefault="00660273">
            <w:pPr>
              <w:adjustRightInd w:val="0"/>
              <w:rPr>
                <w:color w:val="000000"/>
                <w:sz w:val="24"/>
                <w:szCs w:val="24"/>
              </w:rPr>
            </w:pPr>
          </w:p>
        </w:tc>
        <w:tc>
          <w:tcPr>
            <w:tcW w:w="1104" w:type="dxa"/>
            <w:tcBorders>
              <w:top w:val="nil"/>
              <w:left w:val="nil"/>
              <w:bottom w:val="single" w:sz="4" w:space="0" w:color="auto"/>
              <w:right w:val="nil"/>
            </w:tcBorders>
            <w:vAlign w:val="bottom"/>
          </w:tcPr>
          <w:p w14:paraId="435B0858" w14:textId="77777777" w:rsidR="00660273" w:rsidRDefault="00660273">
            <w:pPr>
              <w:adjustRightInd w:val="0"/>
              <w:rPr>
                <w:color w:val="000000"/>
                <w:sz w:val="24"/>
                <w:szCs w:val="24"/>
              </w:rPr>
            </w:pPr>
          </w:p>
        </w:tc>
        <w:tc>
          <w:tcPr>
            <w:tcW w:w="1104" w:type="dxa"/>
            <w:tcBorders>
              <w:top w:val="nil"/>
              <w:left w:val="nil"/>
              <w:bottom w:val="single" w:sz="4" w:space="0" w:color="auto"/>
              <w:right w:val="nil"/>
            </w:tcBorders>
            <w:vAlign w:val="bottom"/>
          </w:tcPr>
          <w:p w14:paraId="165BF602" w14:textId="77777777" w:rsidR="00660273" w:rsidRDefault="00660273">
            <w:pPr>
              <w:adjustRightInd w:val="0"/>
              <w:rPr>
                <w:color w:val="000000"/>
                <w:sz w:val="24"/>
                <w:szCs w:val="24"/>
              </w:rPr>
            </w:pPr>
          </w:p>
        </w:tc>
        <w:tc>
          <w:tcPr>
            <w:tcW w:w="912" w:type="dxa"/>
            <w:tcBorders>
              <w:top w:val="nil"/>
              <w:left w:val="nil"/>
              <w:bottom w:val="single" w:sz="4" w:space="0" w:color="auto"/>
              <w:right w:val="single" w:sz="4" w:space="0" w:color="auto"/>
            </w:tcBorders>
            <w:vAlign w:val="bottom"/>
          </w:tcPr>
          <w:p w14:paraId="60F95CA1" w14:textId="77777777" w:rsidR="00660273" w:rsidRDefault="00660273">
            <w:pPr>
              <w:adjustRightInd w:val="0"/>
              <w:rPr>
                <w:color w:val="000000"/>
                <w:sz w:val="24"/>
                <w:szCs w:val="24"/>
              </w:rPr>
            </w:pPr>
          </w:p>
        </w:tc>
      </w:tr>
    </w:tbl>
    <w:p w14:paraId="47872E8F" w14:textId="77777777" w:rsidR="00667172" w:rsidRDefault="00667172" w:rsidP="00667172">
      <w:pPr>
        <w:spacing w:before="40" w:after="40"/>
        <w:ind w:right="227" w:firstLine="720"/>
        <w:jc w:val="both"/>
        <w:rPr>
          <w:color w:val="000000" w:themeColor="text1"/>
        </w:rPr>
      </w:pPr>
    </w:p>
    <w:p w14:paraId="553137FF" w14:textId="526D55F3" w:rsidR="00660273" w:rsidRPr="00667172" w:rsidRDefault="00000000" w:rsidP="00667172">
      <w:pPr>
        <w:spacing w:before="40" w:after="40"/>
        <w:ind w:right="227" w:firstLine="720"/>
        <w:jc w:val="both"/>
        <w:rPr>
          <w:color w:val="000000" w:themeColor="text1"/>
        </w:rPr>
      </w:pPr>
      <w:r w:rsidRPr="00667172">
        <w:rPr>
          <w:color w:val="000000" w:themeColor="text1"/>
        </w:rPr>
        <w:t>The independent variable Carbon Emissions Disclosure has a significant positive effect on Investor Reaction, this can be seen from the significance value in the Carbon Emissions Disclosure table which is much smaller at 0.0059 from the α value of 0.05. With this explanation, the hypothesis is accepted and it can be concluded that the disclosure of carbon emissions has an effect on investor reactions, meaning that the higher the company increases efforts to reduce carbon emissions, this will give a positive investor response.</w:t>
      </w:r>
    </w:p>
    <w:p w14:paraId="5C3E1E5B" w14:textId="77777777" w:rsidR="00660273" w:rsidRDefault="00000000" w:rsidP="00667172">
      <w:pPr>
        <w:spacing w:before="40" w:after="40"/>
        <w:ind w:right="227" w:firstLine="720"/>
        <w:jc w:val="both"/>
        <w:rPr>
          <w:color w:val="000000" w:themeColor="text1"/>
          <w:sz w:val="24"/>
          <w:szCs w:val="24"/>
        </w:rPr>
      </w:pPr>
      <w:r w:rsidRPr="00667172">
        <w:rPr>
          <w:color w:val="000000" w:themeColor="text1"/>
        </w:rPr>
        <w:t>In legitimacy theory, carbon emissions disclosure is one way for companies to gain public legitimacy. Companies that are open about their carbon emissions are able to manage their emissions to minimize the risks and opportunities arising from carbon emissions. This transparency allows investors to more objectively assess a company's performance in addressing environmental and social issues. The results of this study are consistent with legitimacy theory, which explains that companies that disclose their carbon emissions substantially increase their legitimacy by demonstrating awareness and commitment, increasing transparency, and promoting equality.</w:t>
      </w:r>
    </w:p>
    <w:p w14:paraId="561F7867" w14:textId="77777777" w:rsidR="00660273" w:rsidRPr="00667172" w:rsidRDefault="00000000">
      <w:pPr>
        <w:pStyle w:val="Heading1"/>
        <w:spacing w:before="80" w:after="80"/>
        <w:ind w:left="0"/>
        <w:rPr>
          <w:w w:val="115"/>
          <w:lang w:val="en-US"/>
        </w:rPr>
      </w:pPr>
      <w:r w:rsidRPr="00667172">
        <w:rPr>
          <w:w w:val="115"/>
          <w:lang w:val="en-US"/>
        </w:rPr>
        <w:t>Conclusion</w:t>
      </w:r>
    </w:p>
    <w:p w14:paraId="105ADE1D" w14:textId="77777777" w:rsidR="00660273" w:rsidRDefault="00000000">
      <w:pPr>
        <w:pStyle w:val="BodyText"/>
        <w:spacing w:before="40" w:after="40"/>
        <w:ind w:firstLine="661"/>
        <w:jc w:val="both"/>
        <w:rPr>
          <w:color w:val="000000" w:themeColor="text1"/>
          <w:sz w:val="24"/>
          <w:szCs w:val="24"/>
          <w:lang w:val="en-US"/>
        </w:rPr>
      </w:pPr>
      <w:r>
        <w:rPr>
          <w:color w:val="000000" w:themeColor="text1"/>
          <w:sz w:val="24"/>
          <w:szCs w:val="24"/>
          <w:lang w:val="en-US"/>
        </w:rPr>
        <w:t>This study aims to measure the effect of climate change mitigation efforts on carbon emission disclosure on investor reactions in non-financial sector companies listed on the Indonesia Stock Exchange (IDX) in 202</w:t>
      </w:r>
      <w:r>
        <w:rPr>
          <w:color w:val="000000" w:themeColor="text1"/>
          <w:sz w:val="24"/>
          <w:szCs w:val="24"/>
        </w:rPr>
        <w:t>2</w:t>
      </w:r>
      <w:r>
        <w:rPr>
          <w:color w:val="000000" w:themeColor="text1"/>
          <w:sz w:val="24"/>
          <w:szCs w:val="24"/>
          <w:lang w:val="en-US"/>
        </w:rPr>
        <w:t>-202</w:t>
      </w:r>
      <w:r>
        <w:rPr>
          <w:color w:val="000000" w:themeColor="text1"/>
          <w:sz w:val="24"/>
          <w:szCs w:val="24"/>
        </w:rPr>
        <w:t>4</w:t>
      </w:r>
      <w:r>
        <w:rPr>
          <w:color w:val="000000" w:themeColor="text1"/>
          <w:sz w:val="24"/>
          <w:szCs w:val="24"/>
          <w:lang w:val="en-US"/>
        </w:rPr>
        <w:t>. Based on the research that has been done, it can be concluded that:</w:t>
      </w:r>
    </w:p>
    <w:p w14:paraId="0907B815" w14:textId="77777777" w:rsidR="00660273" w:rsidRDefault="00000000">
      <w:pPr>
        <w:pStyle w:val="BodyText"/>
        <w:numPr>
          <w:ilvl w:val="0"/>
          <w:numId w:val="4"/>
        </w:numPr>
        <w:spacing w:before="40" w:after="40"/>
        <w:ind w:left="567" w:hanging="425"/>
        <w:jc w:val="both"/>
        <w:rPr>
          <w:b/>
          <w:bCs/>
          <w:color w:val="000000" w:themeColor="text1"/>
          <w:sz w:val="24"/>
          <w:szCs w:val="24"/>
          <w:lang w:val="en-US"/>
        </w:rPr>
      </w:pPr>
      <w:r>
        <w:rPr>
          <w:color w:val="000000" w:themeColor="text1"/>
          <w:sz w:val="24"/>
          <w:szCs w:val="24"/>
          <w:lang w:val="en-US"/>
        </w:rPr>
        <w:t>Disclosure of carbon emissions has a significant positive effect on investor reactions. The higher the company increases efforts to reduce carbon emissions, this will provide a positive investor response.</w:t>
      </w:r>
      <w:r>
        <w:rPr>
          <w:color w:val="000000" w:themeColor="text1"/>
          <w:sz w:val="24"/>
          <w:szCs w:val="24"/>
        </w:rPr>
        <w:t xml:space="preserve"> </w:t>
      </w:r>
      <w:r>
        <w:rPr>
          <w:color w:val="000000" w:themeColor="text1"/>
          <w:sz w:val="24"/>
          <w:szCs w:val="24"/>
          <w:lang w:val="en-US"/>
        </w:rPr>
        <w:t>This shows that the disclosure of carbon emissions has a positive effect on investor reactions, the company will get positive legitimacy and improve the company's image for investor reactions for the sustainability of its business.</w:t>
      </w:r>
    </w:p>
    <w:p w14:paraId="082DC44A" w14:textId="77777777" w:rsidR="00660273" w:rsidRDefault="00000000">
      <w:pPr>
        <w:pStyle w:val="BodyText"/>
        <w:numPr>
          <w:ilvl w:val="0"/>
          <w:numId w:val="4"/>
        </w:numPr>
        <w:spacing w:before="40" w:after="40"/>
        <w:ind w:left="567" w:hanging="425"/>
        <w:jc w:val="both"/>
        <w:rPr>
          <w:b/>
          <w:bCs/>
          <w:color w:val="000000" w:themeColor="text1"/>
          <w:sz w:val="24"/>
          <w:szCs w:val="24"/>
          <w:lang w:val="en-US"/>
        </w:rPr>
      </w:pPr>
      <w:r>
        <w:rPr>
          <w:color w:val="000000" w:themeColor="text1"/>
          <w:sz w:val="24"/>
          <w:szCs w:val="24"/>
        </w:rPr>
        <w:t>T</w:t>
      </w:r>
      <w:proofErr w:type="spellStart"/>
      <w:r>
        <w:rPr>
          <w:color w:val="000000" w:themeColor="text1"/>
          <w:sz w:val="24"/>
          <w:szCs w:val="24"/>
          <w:lang w:val="en-US"/>
        </w:rPr>
        <w:t>hese</w:t>
      </w:r>
      <w:proofErr w:type="spellEnd"/>
      <w:r>
        <w:rPr>
          <w:color w:val="000000" w:themeColor="text1"/>
          <w:sz w:val="24"/>
          <w:szCs w:val="24"/>
          <w:lang w:val="en-US"/>
        </w:rPr>
        <w:t xml:space="preserve"> companies not only fulfill their obligation to report their environmental impact, but also use sustainability reports as a tool to communicate their commitment to sustainable business practices. Sustainability reports that include concrete initiatives to reduce carbon emissions, such as investing in green technology, improving energy efficiency, or </w:t>
      </w:r>
      <w:r>
        <w:rPr>
          <w:color w:val="000000" w:themeColor="text1"/>
          <w:sz w:val="24"/>
          <w:szCs w:val="24"/>
          <w:lang w:val="en-US"/>
        </w:rPr>
        <w:lastRenderedPageBreak/>
        <w:t>diversifying energy sources to more environmentally friendly alternatives, provide a clear picture of how companies manage environmental risks and prepare for possible future regulatory changes.</w:t>
      </w:r>
    </w:p>
    <w:p w14:paraId="5ED0095F" w14:textId="77777777" w:rsidR="00660273" w:rsidRDefault="00660273">
      <w:pPr>
        <w:rPr>
          <w:w w:val="115"/>
          <w:sz w:val="24"/>
          <w:szCs w:val="24"/>
        </w:rPr>
      </w:pPr>
    </w:p>
    <w:p w14:paraId="6E046E15" w14:textId="77777777" w:rsidR="00660273" w:rsidRDefault="00000000">
      <w:pPr>
        <w:pStyle w:val="Heading1"/>
        <w:spacing w:before="80" w:after="80"/>
        <w:ind w:left="0"/>
        <w:rPr>
          <w:sz w:val="24"/>
          <w:szCs w:val="24"/>
          <w:lang w:val="en-US"/>
        </w:rPr>
      </w:pPr>
      <w:r>
        <w:rPr>
          <w:w w:val="115"/>
          <w:sz w:val="24"/>
          <w:szCs w:val="24"/>
          <w:lang w:val="en-US"/>
        </w:rPr>
        <w:t>References</w:t>
      </w:r>
    </w:p>
    <w:p w14:paraId="3AFFFD09" w14:textId="77777777" w:rsidR="00660273" w:rsidRPr="00667172" w:rsidRDefault="00000000">
      <w:pPr>
        <w:adjustRightInd w:val="0"/>
        <w:ind w:left="480" w:hanging="480"/>
        <w:jc w:val="both"/>
      </w:pPr>
      <w:r w:rsidRPr="00667172">
        <w:t>Asmaranti, Y., Lindrianasari, &amp; Putri, W. R. E. (2020). The Effect of Carbon Emissions Disclosure on Investor Reaction with Environmental Performance as a Moderating Variable. http://repository.lppm.unila.ac.id/id/eprint/26357</w:t>
      </w:r>
    </w:p>
    <w:p w14:paraId="099B2135" w14:textId="77777777" w:rsidR="00660273" w:rsidRPr="00667172" w:rsidRDefault="00000000">
      <w:pPr>
        <w:adjustRightInd w:val="0"/>
        <w:ind w:left="480" w:hanging="480"/>
        <w:jc w:val="both"/>
      </w:pPr>
      <w:r w:rsidRPr="00667172">
        <w:t xml:space="preserve">Asyari, S., &amp; Hernawati, E. (2023). The Effect of Disclosure of Carbon Emissions and Environmental Performance on Investor Reaction with Media Exposure as a Moderating Variable. Trisakti Accounting Journal, 10(2), 319-342. </w:t>
      </w:r>
      <w:hyperlink r:id="rId12" w:history="1">
        <w:r w:rsidRPr="00667172">
          <w:rPr>
            <w:rStyle w:val="Hyperlink"/>
          </w:rPr>
          <w:t>https://doi.org/10.25105/jat.v10i2.15899</w:t>
        </w:r>
      </w:hyperlink>
    </w:p>
    <w:p w14:paraId="1F55A70D" w14:textId="77777777" w:rsidR="00660273" w:rsidRPr="00667172" w:rsidRDefault="00000000">
      <w:pPr>
        <w:adjustRightInd w:val="0"/>
        <w:ind w:left="480" w:hanging="480"/>
        <w:jc w:val="both"/>
      </w:pPr>
      <w:r w:rsidRPr="00667172">
        <w:t xml:space="preserve">Bolton, P., &amp; Kacperczyk, M. (2021). Do Investors Care about Carbon Risk? </w:t>
      </w:r>
      <w:hyperlink r:id="rId13" w:history="1">
        <w:r w:rsidRPr="00667172">
          <w:rPr>
            <w:rStyle w:val="Hyperlink"/>
          </w:rPr>
          <w:t>https://doi.org/https://doi.org/10.1016/j.jfineco.2021.05.008</w:t>
        </w:r>
      </w:hyperlink>
    </w:p>
    <w:p w14:paraId="33F66B6D" w14:textId="77777777" w:rsidR="00660273" w:rsidRPr="00667172" w:rsidRDefault="00000000">
      <w:pPr>
        <w:adjustRightInd w:val="0"/>
        <w:ind w:left="480" w:hanging="480"/>
        <w:jc w:val="both"/>
      </w:pPr>
      <w:r w:rsidRPr="00667172">
        <w:t>Fernando, R. (2023). Climate Change Impacts on Business and Investment in 2023: Adaptation and Mitigation Strategies. Circle Archive. http://circle- archive.com/index.php/carc/article/view/40</w:t>
      </w:r>
    </w:p>
    <w:p w14:paraId="0F83F5F0" w14:textId="77777777" w:rsidR="00660273" w:rsidRPr="00667172" w:rsidRDefault="00000000">
      <w:pPr>
        <w:adjustRightInd w:val="0"/>
        <w:ind w:left="480" w:hanging="480"/>
        <w:jc w:val="both"/>
      </w:pPr>
      <w:r w:rsidRPr="00667172">
        <w:t>Khairunisa, S., &amp; Pohan, H. T. (2022). The effect of disclosure of carbon emissions, environmental performance and environmental costs on corporate financial performance. Journal of Economics</w:t>
      </w:r>
      <w:r w:rsidRPr="00667172">
        <w:tab/>
        <w:t>Trisakti,</w:t>
      </w:r>
      <w:r w:rsidRPr="00667172">
        <w:tab/>
        <w:t>2(2), 283–292. https://doi.org/http://dx.doi.org/10.25105/jet.v2i2.14144</w:t>
      </w:r>
    </w:p>
    <w:p w14:paraId="547EBAA6" w14:textId="77777777" w:rsidR="00660273" w:rsidRPr="00667172" w:rsidRDefault="00000000">
      <w:pPr>
        <w:adjustRightInd w:val="0"/>
        <w:ind w:left="480" w:hanging="480"/>
        <w:jc w:val="both"/>
      </w:pPr>
      <w:r w:rsidRPr="00667172">
        <w:t>Kurnia, P., Darlis, E., &amp; Putra, A. A. (2020). Carbon Emission Disclosure, Good Corporate Governance, Financial Performance, and Firm Value. Journal of Asian Finance,</w:t>
      </w:r>
      <w:r w:rsidRPr="00667172">
        <w:tab/>
        <w:t>Economics</w:t>
      </w:r>
      <w:r w:rsidRPr="00667172">
        <w:tab/>
        <w:t>and</w:t>
      </w:r>
      <w:r w:rsidRPr="00667172">
        <w:tab/>
        <w:t>Business,</w:t>
      </w:r>
      <w:r w:rsidRPr="00667172">
        <w:tab/>
        <w:t>7(12),</w:t>
      </w:r>
      <w:r w:rsidRPr="00667172">
        <w:tab/>
        <w:t>223–231. https://doi.org/10.13106/JAFEB.2020.VOL7.NO12.223</w:t>
      </w:r>
    </w:p>
    <w:p w14:paraId="1CCB5091" w14:textId="77777777" w:rsidR="00660273" w:rsidRPr="00667172" w:rsidRDefault="00000000">
      <w:pPr>
        <w:adjustRightInd w:val="0"/>
        <w:ind w:left="480" w:hanging="480"/>
        <w:jc w:val="both"/>
      </w:pPr>
      <w:r w:rsidRPr="00667172">
        <w:t xml:space="preserve">Ladista, R. D., Lindrianasari, L., &amp; Syaipudin, U. (2023). Determinants of Carbon Emissions Disclosure and its Effect on Financial Performance. Owner: Research and Journal Accounting, </w:t>
      </w:r>
      <w:hyperlink r:id="rId14" w:history="1">
        <w:r w:rsidRPr="00667172">
          <w:rPr>
            <w:rStyle w:val="Hyperlink"/>
          </w:rPr>
          <w:t>http://polgan.ac.id/owner/index.php/owner/article/view/1535</w:t>
        </w:r>
      </w:hyperlink>
    </w:p>
    <w:p w14:paraId="3EDE917C" w14:textId="77777777" w:rsidR="00660273" w:rsidRPr="00667172" w:rsidRDefault="00000000">
      <w:pPr>
        <w:adjustRightInd w:val="0"/>
        <w:ind w:left="480" w:hanging="480"/>
        <w:jc w:val="both"/>
      </w:pPr>
      <w:r w:rsidRPr="00667172">
        <w:t>Lu, W., Zhu, N., &amp; Zhang, J. (2021). The impact of carbon disclosure on financial performance under low carbon constraints. Energies, 14(14). https://doi.org/10.3390/en14144126</w:t>
      </w:r>
    </w:p>
    <w:p w14:paraId="7B800E78" w14:textId="77777777" w:rsidR="00660273" w:rsidRPr="00667172" w:rsidRDefault="00000000">
      <w:pPr>
        <w:adjustRightInd w:val="0"/>
        <w:ind w:left="480" w:hanging="480"/>
        <w:jc w:val="both"/>
      </w:pPr>
      <w:r w:rsidRPr="00667172">
        <w:t>Muhammad, G. I., &amp; Aryani, Y. A. (2021). The Impact of Carbon Disclosure on Firm Value with Foreign Ownership as A Moderating Variable. Journal of Accounting and Business Dynamics, 8(1), 1-14. https://doi.org/10.24815/jdab.v8i1.17011</w:t>
      </w:r>
    </w:p>
    <w:p w14:paraId="7AB81C48" w14:textId="77777777" w:rsidR="00660273" w:rsidRPr="00667172" w:rsidRDefault="00000000">
      <w:pPr>
        <w:adjustRightInd w:val="0"/>
        <w:ind w:left="480" w:hanging="480"/>
        <w:jc w:val="both"/>
      </w:pPr>
      <w:r w:rsidRPr="00667172">
        <w:t xml:space="preserve">Nanda, U. E., Nasir, A., &amp; Nur DP, E. (2023). The Effect of Disclosure of Carbon Emissions and Financial Performance on Investor Reaction with Environmental Performance as Moderator. CURRENT: Journal of Current Accounting and Business Studies, 4(3), 525-541. </w:t>
      </w:r>
      <w:hyperlink r:id="rId15" w:history="1">
        <w:r w:rsidRPr="00667172">
          <w:rPr>
            <w:rStyle w:val="Hyperlink"/>
          </w:rPr>
          <w:t>https://doi.org/10.31258/current.4.3.525-541</w:t>
        </w:r>
      </w:hyperlink>
    </w:p>
    <w:p w14:paraId="0421FEC1" w14:textId="77777777" w:rsidR="00660273" w:rsidRPr="00667172" w:rsidRDefault="00000000">
      <w:pPr>
        <w:adjustRightInd w:val="0"/>
        <w:ind w:left="480" w:hanging="480"/>
        <w:jc w:val="both"/>
      </w:pPr>
      <w:r w:rsidRPr="00667172">
        <w:t>Thanki, H., Shah, S., Rathod, H. S., Oza, A. D., &amp; Burduhos-Nergis, D. D. (2022). I Am Ready to Invest in Socially Responsible Investments (SRI) Options Only If the Returns Are Not Compromised: Individual Investors' Intentions toward SRI. Sustainability (Switzerland), 14(18). https://doi.org/10.3390/su141811377</w:t>
      </w:r>
    </w:p>
    <w:p w14:paraId="2736EAB0" w14:textId="77777777" w:rsidR="00660273" w:rsidRPr="00667172" w:rsidRDefault="00000000">
      <w:pPr>
        <w:adjustRightInd w:val="0"/>
        <w:ind w:left="480" w:hanging="480"/>
        <w:jc w:val="both"/>
      </w:pPr>
      <w:r w:rsidRPr="00667172">
        <w:t xml:space="preserve">Velte, P., Stawinoga, M., &amp; Lueg, R. (2020). Carbon performance and disclosure: A systematic review of governance-related determinants and financial consequences. In Journal of Cleaner Production (Vol. 254). Elsevier Ltd. </w:t>
      </w:r>
      <w:hyperlink r:id="rId16" w:history="1">
        <w:r w:rsidRPr="00667172">
          <w:rPr>
            <w:rStyle w:val="Hyperlink"/>
          </w:rPr>
          <w:t>https://doi.org/10.1016/j.jclepro.2020.120063</w:t>
        </w:r>
      </w:hyperlink>
    </w:p>
    <w:p w14:paraId="00D61ABD" w14:textId="77777777" w:rsidR="00660273" w:rsidRPr="00667172" w:rsidRDefault="00000000">
      <w:pPr>
        <w:adjustRightInd w:val="0"/>
        <w:ind w:left="480" w:hanging="480"/>
        <w:jc w:val="both"/>
      </w:pPr>
      <w:r w:rsidRPr="00667172">
        <w:t>Yatie, S. H., &amp; Tandika, D. (2019). The Impact Of Green Investment Index Toward Financial Performance As Well As The Impact Of Stock Return On The Company. Management Proceedings, 5(1), 107-113.</w:t>
      </w:r>
    </w:p>
    <w:p w14:paraId="30CC6C00" w14:textId="77777777" w:rsidR="00660273" w:rsidRPr="00667172" w:rsidRDefault="00660273">
      <w:pPr>
        <w:jc w:val="both"/>
      </w:pPr>
    </w:p>
    <w:p w14:paraId="2D57FD57" w14:textId="77777777" w:rsidR="00660273" w:rsidRDefault="00660273">
      <w:pPr>
        <w:rPr>
          <w:sz w:val="24"/>
          <w:szCs w:val="24"/>
          <w:lang w:val="en-US"/>
        </w:rPr>
      </w:pPr>
    </w:p>
    <w:sectPr w:rsidR="00660273" w:rsidSect="00667172">
      <w:footerReference w:type="default" r:id="rId17"/>
      <w:pgSz w:w="11910" w:h="16840"/>
      <w:pgMar w:top="1701" w:right="1134" w:bottom="1134" w:left="1701" w:header="804" w:footer="1314"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9986" w14:textId="77777777" w:rsidR="004109E9" w:rsidRDefault="004109E9">
      <w:r>
        <w:separator/>
      </w:r>
    </w:p>
  </w:endnote>
  <w:endnote w:type="continuationSeparator" w:id="0">
    <w:p w14:paraId="5733FBC6" w14:textId="77777777" w:rsidR="004109E9" w:rsidRDefault="0041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altName w:val="Times New Roman"/>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38935"/>
      <w:docPartObj>
        <w:docPartGallery w:val="Page Numbers (Bottom of Page)"/>
        <w:docPartUnique/>
      </w:docPartObj>
    </w:sdtPr>
    <w:sdtEndPr>
      <w:rPr>
        <w:noProof/>
      </w:rPr>
    </w:sdtEndPr>
    <w:sdtContent>
      <w:p w14:paraId="1F00552D" w14:textId="5952BD76" w:rsidR="008F7515" w:rsidRDefault="008F75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C8DD93" w14:textId="77777777" w:rsidR="008F7515" w:rsidRDefault="008F7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080631"/>
      <w:docPartObj>
        <w:docPartGallery w:val="Page Numbers (Bottom of Page)"/>
        <w:docPartUnique/>
      </w:docPartObj>
    </w:sdtPr>
    <w:sdtEndPr>
      <w:rPr>
        <w:noProof/>
      </w:rPr>
    </w:sdtEndPr>
    <w:sdtContent>
      <w:p w14:paraId="075C5475" w14:textId="20244636" w:rsidR="008F7515" w:rsidRDefault="008F75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17669" w14:textId="77777777" w:rsidR="00660273" w:rsidRDefault="0066027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C916" w14:textId="77777777" w:rsidR="004109E9" w:rsidRDefault="004109E9">
      <w:r>
        <w:separator/>
      </w:r>
    </w:p>
  </w:footnote>
  <w:footnote w:type="continuationSeparator" w:id="0">
    <w:p w14:paraId="75CC5517" w14:textId="77777777" w:rsidR="004109E9" w:rsidRDefault="00410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FB5F8F"/>
    <w:multiLevelType w:val="singleLevel"/>
    <w:tmpl w:val="95FB5F8F"/>
    <w:lvl w:ilvl="0">
      <w:start w:val="1"/>
      <w:numFmt w:val="decimal"/>
      <w:suff w:val="space"/>
      <w:lvlText w:val="%1."/>
      <w:lvlJc w:val="left"/>
    </w:lvl>
  </w:abstractNum>
  <w:abstractNum w:abstractNumId="1" w15:restartNumberingAfterBreak="0">
    <w:nsid w:val="EB362070"/>
    <w:multiLevelType w:val="singleLevel"/>
    <w:tmpl w:val="EB362070"/>
    <w:lvl w:ilvl="0">
      <w:start w:val="1"/>
      <w:numFmt w:val="decimal"/>
      <w:suff w:val="space"/>
      <w:lvlText w:val="%1."/>
      <w:lvlJc w:val="left"/>
    </w:lvl>
  </w:abstractNum>
  <w:abstractNum w:abstractNumId="2" w15:restartNumberingAfterBreak="0">
    <w:nsid w:val="EF2527C0"/>
    <w:multiLevelType w:val="singleLevel"/>
    <w:tmpl w:val="EF2527C0"/>
    <w:lvl w:ilvl="0">
      <w:start w:val="1"/>
      <w:numFmt w:val="decimal"/>
      <w:suff w:val="space"/>
      <w:lvlText w:val="%1."/>
      <w:lvlJc w:val="left"/>
    </w:lvl>
  </w:abstractNum>
  <w:abstractNum w:abstractNumId="3" w15:restartNumberingAfterBreak="0">
    <w:nsid w:val="243F4E3C"/>
    <w:multiLevelType w:val="multilevel"/>
    <w:tmpl w:val="243F4E3C"/>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6512112">
    <w:abstractNumId w:val="2"/>
  </w:num>
  <w:num w:numId="2" w16cid:durableId="586305410">
    <w:abstractNumId w:val="0"/>
  </w:num>
  <w:num w:numId="3" w16cid:durableId="2018267825">
    <w:abstractNumId w:val="1"/>
  </w:num>
  <w:num w:numId="4" w16cid:durableId="136984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szQ1MjQwsTQ3MTNQ0lEKTi0uzszPAykwrgUAhyDOaCwAAAA="/>
  </w:docVars>
  <w:rsids>
    <w:rsidRoot w:val="00877677"/>
    <w:rsid w:val="A6CCB35F"/>
    <w:rsid w:val="DDFFF496"/>
    <w:rsid w:val="F295CB3B"/>
    <w:rsid w:val="FBDE48D3"/>
    <w:rsid w:val="FBF77123"/>
    <w:rsid w:val="000156F6"/>
    <w:rsid w:val="00021EFF"/>
    <w:rsid w:val="00030D04"/>
    <w:rsid w:val="00075BBF"/>
    <w:rsid w:val="00102CCC"/>
    <w:rsid w:val="00103083"/>
    <w:rsid w:val="00111618"/>
    <w:rsid w:val="001328CF"/>
    <w:rsid w:val="00187C3D"/>
    <w:rsid w:val="00193708"/>
    <w:rsid w:val="001B168B"/>
    <w:rsid w:val="001F7FD7"/>
    <w:rsid w:val="00236BB2"/>
    <w:rsid w:val="00242276"/>
    <w:rsid w:val="00242D05"/>
    <w:rsid w:val="002828F0"/>
    <w:rsid w:val="00287CBE"/>
    <w:rsid w:val="002C703E"/>
    <w:rsid w:val="002D3F81"/>
    <w:rsid w:val="002F6E5F"/>
    <w:rsid w:val="00306C44"/>
    <w:rsid w:val="00351F41"/>
    <w:rsid w:val="00352145"/>
    <w:rsid w:val="0036134B"/>
    <w:rsid w:val="003962B3"/>
    <w:rsid w:val="003B301E"/>
    <w:rsid w:val="003E08BD"/>
    <w:rsid w:val="004109E9"/>
    <w:rsid w:val="004319C1"/>
    <w:rsid w:val="004326FF"/>
    <w:rsid w:val="004351D8"/>
    <w:rsid w:val="0045727D"/>
    <w:rsid w:val="004870F3"/>
    <w:rsid w:val="004870F7"/>
    <w:rsid w:val="004872CB"/>
    <w:rsid w:val="004972AF"/>
    <w:rsid w:val="004C03DC"/>
    <w:rsid w:val="004C082E"/>
    <w:rsid w:val="004F48C0"/>
    <w:rsid w:val="00502EBB"/>
    <w:rsid w:val="00532D9A"/>
    <w:rsid w:val="0053387A"/>
    <w:rsid w:val="00533F20"/>
    <w:rsid w:val="00583DF2"/>
    <w:rsid w:val="005C1882"/>
    <w:rsid w:val="005F729B"/>
    <w:rsid w:val="00633BEC"/>
    <w:rsid w:val="00660273"/>
    <w:rsid w:val="00667172"/>
    <w:rsid w:val="006837FF"/>
    <w:rsid w:val="006845CD"/>
    <w:rsid w:val="006C690E"/>
    <w:rsid w:val="006D591D"/>
    <w:rsid w:val="006E44D8"/>
    <w:rsid w:val="006F2A3C"/>
    <w:rsid w:val="0070441B"/>
    <w:rsid w:val="00704815"/>
    <w:rsid w:val="00722144"/>
    <w:rsid w:val="00782675"/>
    <w:rsid w:val="007B36F4"/>
    <w:rsid w:val="007D247E"/>
    <w:rsid w:val="00802AAD"/>
    <w:rsid w:val="00806FA3"/>
    <w:rsid w:val="00823B0B"/>
    <w:rsid w:val="0083676D"/>
    <w:rsid w:val="008459C0"/>
    <w:rsid w:val="008548B7"/>
    <w:rsid w:val="00864197"/>
    <w:rsid w:val="00877677"/>
    <w:rsid w:val="00886289"/>
    <w:rsid w:val="008A479A"/>
    <w:rsid w:val="008E602D"/>
    <w:rsid w:val="008F7515"/>
    <w:rsid w:val="009143F0"/>
    <w:rsid w:val="00936138"/>
    <w:rsid w:val="00936BFC"/>
    <w:rsid w:val="00962752"/>
    <w:rsid w:val="00967342"/>
    <w:rsid w:val="00976AC2"/>
    <w:rsid w:val="009C6875"/>
    <w:rsid w:val="009D27BF"/>
    <w:rsid w:val="009F5241"/>
    <w:rsid w:val="00A00EC9"/>
    <w:rsid w:val="00A05415"/>
    <w:rsid w:val="00A1713B"/>
    <w:rsid w:val="00A24636"/>
    <w:rsid w:val="00A45639"/>
    <w:rsid w:val="00A47E89"/>
    <w:rsid w:val="00A70334"/>
    <w:rsid w:val="00A87EDB"/>
    <w:rsid w:val="00AA10D1"/>
    <w:rsid w:val="00B071A1"/>
    <w:rsid w:val="00B410D4"/>
    <w:rsid w:val="00B41164"/>
    <w:rsid w:val="00B5085E"/>
    <w:rsid w:val="00B61CAD"/>
    <w:rsid w:val="00BA079B"/>
    <w:rsid w:val="00BF32AA"/>
    <w:rsid w:val="00BF61D0"/>
    <w:rsid w:val="00C05C74"/>
    <w:rsid w:val="00C10AF3"/>
    <w:rsid w:val="00C151EC"/>
    <w:rsid w:val="00C1730A"/>
    <w:rsid w:val="00C339EB"/>
    <w:rsid w:val="00C469DB"/>
    <w:rsid w:val="00C56517"/>
    <w:rsid w:val="00C64604"/>
    <w:rsid w:val="00C82784"/>
    <w:rsid w:val="00CA6D29"/>
    <w:rsid w:val="00CC179A"/>
    <w:rsid w:val="00CD0701"/>
    <w:rsid w:val="00CE1336"/>
    <w:rsid w:val="00D12241"/>
    <w:rsid w:val="00D23E3D"/>
    <w:rsid w:val="00D27F83"/>
    <w:rsid w:val="00D428A7"/>
    <w:rsid w:val="00D7093B"/>
    <w:rsid w:val="00D7768C"/>
    <w:rsid w:val="00DC58C7"/>
    <w:rsid w:val="00DD5DBE"/>
    <w:rsid w:val="00DF3745"/>
    <w:rsid w:val="00E31E0A"/>
    <w:rsid w:val="00E408A4"/>
    <w:rsid w:val="00E422F7"/>
    <w:rsid w:val="00E50732"/>
    <w:rsid w:val="00E71743"/>
    <w:rsid w:val="00EA7064"/>
    <w:rsid w:val="00EB095C"/>
    <w:rsid w:val="00ED2342"/>
    <w:rsid w:val="00F02097"/>
    <w:rsid w:val="00F047B2"/>
    <w:rsid w:val="00F05956"/>
    <w:rsid w:val="00F631E2"/>
    <w:rsid w:val="00F80555"/>
    <w:rsid w:val="00FB0777"/>
    <w:rsid w:val="00FE2D98"/>
    <w:rsid w:val="3DFD8E9C"/>
    <w:rsid w:val="3FDF8CAA"/>
    <w:rsid w:val="57BF2C3B"/>
    <w:rsid w:val="5BF2787A"/>
    <w:rsid w:val="5FD6EDC2"/>
    <w:rsid w:val="641F36AD"/>
    <w:rsid w:val="69BF372A"/>
    <w:rsid w:val="6BFF7B73"/>
    <w:rsid w:val="7F2E6314"/>
    <w:rsid w:val="7FFF6CE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62DC9E"/>
  <w15:docId w15:val="{296DC167-EDE4-411F-A39F-3E5924A4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link w:val="Heading1Char"/>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Pr>
      <w:rFonts w:ascii="Times New Roman" w:eastAsia="Times New Roman" w:hAnsi="Times New Roman" w:cs="Times New Roman"/>
      <w:b/>
      <w:bCs/>
      <w:lang w:val="id" w:eastAsia="id"/>
    </w:rPr>
  </w:style>
  <w:style w:type="character" w:customStyle="1" w:styleId="BodyTextChar">
    <w:name w:val="Body Text Char"/>
    <w:basedOn w:val="DefaultParagraphFont"/>
    <w:link w:val="BodyText"/>
    <w:uiPriority w:val="1"/>
    <w:rPr>
      <w:rFonts w:ascii="Times New Roman" w:eastAsia="Times New Roman" w:hAnsi="Times New Roman" w:cs="Times New Roman"/>
      <w:lang w:val="id" w:eastAsia="id"/>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lang w:val="id" w:eastAsia="id"/>
    </w:rPr>
  </w:style>
  <w:style w:type="character" w:customStyle="1" w:styleId="ListParagraphChar">
    <w:name w:val="List Paragraph Char"/>
    <w:link w:val="ListParagraph"/>
    <w:uiPriority w:val="34"/>
    <w:locked/>
    <w:rPr>
      <w:rFonts w:ascii="Times New Roman" w:eastAsia="Times New Roman" w:hAnsi="Times New Roman" w:cs="Times New Roman"/>
      <w:lang w:val="id" w:eastAsia="id"/>
    </w:rPr>
  </w:style>
  <w:style w:type="character" w:customStyle="1" w:styleId="FooterChar">
    <w:name w:val="Footer Char"/>
    <w:basedOn w:val="DefaultParagraphFont"/>
    <w:link w:val="Footer"/>
    <w:uiPriority w:val="99"/>
    <w:rPr>
      <w:rFonts w:ascii="Times New Roman" w:eastAsia="Times New Roman" w:hAnsi="Times New Roman" w:cs="Times New Roman"/>
      <w:lang w:val="id" w:eastAsia="id"/>
    </w:rPr>
  </w:style>
  <w:style w:type="character" w:customStyle="1" w:styleId="hps">
    <w:name w:val="hps"/>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https:/doi.org/10.1016/j.jfineco.2021.05.0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5105/jat.v10i2.158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clepro.2020.1200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1258/current.4.3.525-541" TargetMode="External"/><Relationship Id="rId10" Type="http://schemas.openxmlformats.org/officeDocument/2006/relationships/hyperlink" Target="https://openjournal.unpam.ac.id/index.php/CT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enjournal.unpam.ac.id/index.php/CTAJ" TargetMode="External"/><Relationship Id="rId14" Type="http://schemas.openxmlformats.org/officeDocument/2006/relationships/hyperlink" Target="http://polgan.ac.id/owner/index.php/owner/article/view/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2592</Words>
  <Characters>14775</Characters>
  <Application>Microsoft Office Word</Application>
  <DocSecurity>0</DocSecurity>
  <Lines>123</Lines>
  <Paragraphs>34</Paragraphs>
  <ScaleCrop>false</ScaleCrop>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Rahman Hakim</dc:creator>
  <cp:lastModifiedBy>Muhammad Ikhsan Febriyanto</cp:lastModifiedBy>
  <cp:revision>7</cp:revision>
  <dcterms:created xsi:type="dcterms:W3CDTF">2025-08-10T19:11:00Z</dcterms:created>
  <dcterms:modified xsi:type="dcterms:W3CDTF">2026-01-29T16:21:00Z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6669d3d7-4c91-3985-a755-217eee08bb45</vt:lpwstr>
  </property>
  <property fmtid="{D5CDD505-2E9C-101B-9397-08002B2CF9AE}" pid="24" name="Mendeley Citation Style_1">
    <vt:lpwstr>http://www.zotero.org/styles/apa</vt:lpwstr>
  </property>
  <property fmtid="{D5CDD505-2E9C-101B-9397-08002B2CF9AE}" pid="25" name="KSOProductBuildVer">
    <vt:lpwstr>1033-12.8.2.14803</vt:lpwstr>
  </property>
  <property fmtid="{D5CDD505-2E9C-101B-9397-08002B2CF9AE}" pid="26" name="ICV">
    <vt:lpwstr>205A5F71DFA0ADFD9B0A65691E8953FE_43</vt:lpwstr>
  </property>
</Properties>
</file>