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31594" w14:textId="71098415" w:rsidR="00AB293F" w:rsidRPr="0088203A" w:rsidRDefault="00F3424E" w:rsidP="007F24CC">
      <w:pPr>
        <w:pStyle w:val="Normal-noindent"/>
        <w:jc w:val="center"/>
        <w:rPr>
          <w:b/>
          <w:sz w:val="28"/>
          <w:szCs w:val="28"/>
          <w14:ligatures w14:val="standardContextual"/>
        </w:rPr>
      </w:pPr>
      <w:r w:rsidRPr="0088203A">
        <w:rPr>
          <w:b/>
          <w:sz w:val="28"/>
          <w:szCs w:val="28"/>
          <w14:ligatures w14:val="standardContextual"/>
        </w:rPr>
        <w:t>Beyond Sustainability Signals: How Green Innovation Shapes Firm Value in Malaysia</w:t>
      </w:r>
    </w:p>
    <w:p w14:paraId="162A6C83" w14:textId="77777777" w:rsidR="00F3424E" w:rsidRPr="0088203A" w:rsidRDefault="00F3424E" w:rsidP="007F24CC">
      <w:pPr>
        <w:pStyle w:val="Normal-noindent"/>
        <w:jc w:val="center"/>
        <w:rPr>
          <w:b/>
          <w:sz w:val="28"/>
          <w:szCs w:val="28"/>
        </w:rPr>
      </w:pPr>
    </w:p>
    <w:p w14:paraId="381F1EBA" w14:textId="5111629B" w:rsidR="007F24CC" w:rsidRDefault="00F3424E" w:rsidP="00F3424E">
      <w:pPr>
        <w:pStyle w:val="Normal-noindent"/>
        <w:jc w:val="center"/>
        <w:rPr>
          <w:b/>
          <w:bCs/>
          <w:sz w:val="24"/>
          <w:szCs w:val="24"/>
        </w:rPr>
      </w:pPr>
      <w:r w:rsidRPr="0088203A">
        <w:rPr>
          <w:b/>
          <w:sz w:val="24"/>
          <w:szCs w:val="24"/>
          <w:lang w:val="en-GB"/>
        </w:rPr>
        <w:t>Muliani</w:t>
      </w:r>
      <w:r w:rsidR="007F24CC" w:rsidRPr="0088203A">
        <w:rPr>
          <w:sz w:val="24"/>
          <w:szCs w:val="24"/>
          <w:vertAlign w:val="superscript"/>
          <w:lang w:val="id-ID"/>
        </w:rPr>
        <w:t>1</w:t>
      </w:r>
      <w:r w:rsidR="007F24CC" w:rsidRPr="0088203A">
        <w:rPr>
          <w:b/>
          <w:sz w:val="24"/>
          <w:szCs w:val="24"/>
          <w:lang w:val="en-GB"/>
        </w:rPr>
        <w:t xml:space="preserve">, </w:t>
      </w:r>
      <w:r w:rsidRPr="0088203A">
        <w:rPr>
          <w:rStyle w:val="xbe"/>
          <w:b/>
          <w:bCs/>
          <w:sz w:val="24"/>
          <w:szCs w:val="24"/>
        </w:rPr>
        <w:t>Alfian Sayuti</w:t>
      </w:r>
      <w:r w:rsidR="007F24CC" w:rsidRPr="0088203A">
        <w:rPr>
          <w:sz w:val="24"/>
          <w:szCs w:val="24"/>
          <w:vertAlign w:val="superscript"/>
          <w:lang w:val="id-ID"/>
        </w:rPr>
        <w:t>2</w:t>
      </w:r>
      <w:r w:rsidR="007F24CC" w:rsidRPr="0088203A">
        <w:rPr>
          <w:rStyle w:val="xbe"/>
          <w:b/>
          <w:bCs/>
          <w:sz w:val="24"/>
          <w:szCs w:val="24"/>
        </w:rPr>
        <w:t xml:space="preserve">, </w:t>
      </w:r>
      <w:proofErr w:type="spellStart"/>
      <w:r w:rsidRPr="0088203A">
        <w:rPr>
          <w:rStyle w:val="xbe"/>
          <w:b/>
          <w:bCs/>
          <w:sz w:val="24"/>
          <w:szCs w:val="24"/>
        </w:rPr>
        <w:t>Defel</w:t>
      </w:r>
      <w:proofErr w:type="spellEnd"/>
      <w:r w:rsidRPr="0088203A">
        <w:rPr>
          <w:rStyle w:val="xbe"/>
          <w:b/>
          <w:bCs/>
          <w:sz w:val="24"/>
          <w:szCs w:val="24"/>
        </w:rPr>
        <w:t xml:space="preserve"> </w:t>
      </w:r>
      <w:proofErr w:type="spellStart"/>
      <w:r w:rsidRPr="0088203A">
        <w:rPr>
          <w:rStyle w:val="xbe"/>
          <w:b/>
          <w:bCs/>
          <w:sz w:val="24"/>
          <w:szCs w:val="24"/>
        </w:rPr>
        <w:t>Septian</w:t>
      </w:r>
      <w:proofErr w:type="spellEnd"/>
      <w:r w:rsidR="007F24CC" w:rsidRPr="0088203A">
        <w:rPr>
          <w:sz w:val="24"/>
          <w:szCs w:val="24"/>
          <w:vertAlign w:val="superscript"/>
          <w:lang w:val="id-ID"/>
        </w:rPr>
        <w:t>3</w:t>
      </w:r>
      <w:r w:rsidR="007F24CC" w:rsidRPr="0088203A">
        <w:rPr>
          <w:rStyle w:val="xbe"/>
          <w:b/>
          <w:bCs/>
          <w:sz w:val="24"/>
          <w:szCs w:val="24"/>
        </w:rPr>
        <w:t xml:space="preserve">, </w:t>
      </w:r>
      <w:r w:rsidRPr="0088203A">
        <w:rPr>
          <w:b/>
          <w:bCs/>
          <w:sz w:val="24"/>
          <w:szCs w:val="24"/>
        </w:rPr>
        <w:t>R. Ayu Ida Aryani</w:t>
      </w:r>
      <w:r w:rsidR="007F24CC" w:rsidRPr="0088203A">
        <w:rPr>
          <w:sz w:val="24"/>
          <w:szCs w:val="24"/>
          <w:vertAlign w:val="superscript"/>
          <w:lang w:val="id-ID"/>
        </w:rPr>
        <w:t>4</w:t>
      </w:r>
    </w:p>
    <w:p w14:paraId="57AFCE8A" w14:textId="2CB81AF7" w:rsidR="002113F2" w:rsidRPr="0088203A" w:rsidRDefault="002113F2" w:rsidP="00F3424E">
      <w:pPr>
        <w:pStyle w:val="Normal-noindent"/>
        <w:jc w:val="center"/>
        <w:rPr>
          <w:sz w:val="22"/>
          <w:szCs w:val="22"/>
        </w:rPr>
      </w:pPr>
      <w:r w:rsidRPr="002113F2">
        <w:rPr>
          <w:sz w:val="22"/>
          <w:szCs w:val="22"/>
        </w:rPr>
        <w:t xml:space="preserve">Universitas </w:t>
      </w:r>
      <w:proofErr w:type="spellStart"/>
      <w:r w:rsidRPr="002113F2">
        <w:rPr>
          <w:sz w:val="22"/>
          <w:szCs w:val="22"/>
        </w:rPr>
        <w:t>Bumigora</w:t>
      </w:r>
      <w:proofErr w:type="spellEnd"/>
      <w:r w:rsidRPr="0088203A">
        <w:rPr>
          <w:sz w:val="24"/>
          <w:szCs w:val="24"/>
          <w:vertAlign w:val="superscript"/>
          <w:lang w:val="id-ID"/>
        </w:rPr>
        <w:t>1</w:t>
      </w:r>
      <w:r>
        <w:rPr>
          <w:sz w:val="24"/>
          <w:szCs w:val="24"/>
          <w:vertAlign w:val="superscript"/>
          <w:lang w:val="id-ID"/>
        </w:rPr>
        <w:t>,2,3,4</w:t>
      </w:r>
    </w:p>
    <w:p w14:paraId="606FEC6C" w14:textId="104C8001" w:rsidR="00AB293F" w:rsidRPr="0088203A" w:rsidRDefault="007F24CC" w:rsidP="007F24CC">
      <w:pPr>
        <w:pStyle w:val="Normal-noindent"/>
        <w:jc w:val="center"/>
        <w:rPr>
          <w:sz w:val="22"/>
          <w:szCs w:val="22"/>
        </w:rPr>
      </w:pPr>
      <w:r w:rsidRPr="0088203A">
        <w:rPr>
          <w:sz w:val="22"/>
          <w:szCs w:val="22"/>
        </w:rPr>
        <w:t xml:space="preserve">Email: </w:t>
      </w:r>
      <w:hyperlink r:id="rId8" w:history="1">
        <w:r w:rsidR="00F3424E" w:rsidRPr="0088203A">
          <w:rPr>
            <w:rStyle w:val="Hyperlink"/>
          </w:rPr>
          <w:t>muliani@universitasbumigora.ac.id</w:t>
        </w:r>
      </w:hyperlink>
      <w:r w:rsidRPr="0088203A">
        <w:rPr>
          <w:sz w:val="24"/>
          <w:szCs w:val="24"/>
          <w:vertAlign w:val="superscript"/>
          <w:lang w:val="id-ID"/>
        </w:rPr>
        <w:t>1</w:t>
      </w:r>
      <w:r w:rsidRPr="0088203A">
        <w:rPr>
          <w:rStyle w:val="xbe"/>
          <w:sz w:val="22"/>
          <w:szCs w:val="22"/>
        </w:rPr>
        <w:t xml:space="preserve">, </w:t>
      </w:r>
      <w:hyperlink r:id="rId9" w:history="1">
        <w:r w:rsidR="00F3424E" w:rsidRPr="0088203A">
          <w:rPr>
            <w:rStyle w:val="Hyperlink"/>
          </w:rPr>
          <w:t>alfian@universitasbumigora.ac.id</w:t>
        </w:r>
      </w:hyperlink>
      <w:r w:rsidRPr="0088203A">
        <w:rPr>
          <w:sz w:val="24"/>
          <w:szCs w:val="24"/>
          <w:vertAlign w:val="superscript"/>
          <w:lang w:val="id-ID"/>
        </w:rPr>
        <w:t>2</w:t>
      </w:r>
      <w:r w:rsidRPr="0088203A">
        <w:rPr>
          <w:rStyle w:val="xbe"/>
          <w:sz w:val="22"/>
          <w:szCs w:val="22"/>
        </w:rPr>
        <w:t xml:space="preserve">, </w:t>
      </w:r>
      <w:hyperlink r:id="rId10" w:history="1">
        <w:r w:rsidR="00F3424E" w:rsidRPr="0088203A">
          <w:rPr>
            <w:rStyle w:val="Hyperlink"/>
          </w:rPr>
          <w:t>ayu.aryani@universitasbumigora.ac.id</w:t>
        </w:r>
      </w:hyperlink>
      <w:r w:rsidRPr="0088203A">
        <w:rPr>
          <w:sz w:val="24"/>
          <w:szCs w:val="24"/>
          <w:vertAlign w:val="superscript"/>
          <w:lang w:val="id-ID"/>
        </w:rPr>
        <w:t>3</w:t>
      </w:r>
      <w:r w:rsidRPr="0088203A">
        <w:rPr>
          <w:sz w:val="22"/>
          <w:szCs w:val="22"/>
        </w:rPr>
        <w:t xml:space="preserve">, </w:t>
      </w:r>
      <w:hyperlink r:id="rId11" w:history="1">
        <w:r w:rsidR="00F3424E" w:rsidRPr="0088203A">
          <w:rPr>
            <w:rStyle w:val="Hyperlink"/>
          </w:rPr>
          <w:t>defel@universitasbumigora.ac.id</w:t>
        </w:r>
      </w:hyperlink>
      <w:r w:rsidRPr="0088203A">
        <w:rPr>
          <w:sz w:val="24"/>
          <w:szCs w:val="24"/>
          <w:vertAlign w:val="superscript"/>
          <w:lang w:val="id-ID"/>
        </w:rPr>
        <w:t>4</w:t>
      </w:r>
    </w:p>
    <w:p w14:paraId="42655EFD" w14:textId="77777777" w:rsidR="00AB293F" w:rsidRPr="0088203A" w:rsidRDefault="00AB293F" w:rsidP="007F24CC">
      <w:pPr>
        <w:pStyle w:val="Normal-noindent"/>
        <w:jc w:val="center"/>
        <w:rPr>
          <w:sz w:val="22"/>
          <w:szCs w:val="22"/>
        </w:rPr>
      </w:pPr>
    </w:p>
    <w:p w14:paraId="76DB943A" w14:textId="77777777" w:rsidR="00AB293F" w:rsidRPr="0088203A" w:rsidRDefault="00AB293F" w:rsidP="007F24CC">
      <w:pPr>
        <w:pStyle w:val="Normal-noindent"/>
        <w:jc w:val="center"/>
        <w:rPr>
          <w:sz w:val="22"/>
          <w:szCs w:val="22"/>
        </w:rPr>
      </w:pPr>
    </w:p>
    <w:p w14:paraId="5D925BEF" w14:textId="546B422C" w:rsidR="00AB293F" w:rsidRPr="0088203A" w:rsidRDefault="00FC4DFE" w:rsidP="007F24CC">
      <w:pPr>
        <w:ind w:firstLine="0"/>
        <w:rPr>
          <w:b/>
          <w:bCs/>
          <w:i/>
          <w:sz w:val="22"/>
          <w:szCs w:val="22"/>
        </w:rPr>
      </w:pPr>
      <w:r w:rsidRPr="0088203A">
        <w:rPr>
          <w:b/>
          <w:bCs/>
          <w:i/>
          <w:sz w:val="22"/>
          <w:szCs w:val="22"/>
        </w:rPr>
        <w:t>ABSTRACT</w:t>
      </w:r>
    </w:p>
    <w:p w14:paraId="0B371AF1" w14:textId="77777777" w:rsidR="00F3424E" w:rsidRPr="0088203A" w:rsidRDefault="00F3424E" w:rsidP="00F3424E">
      <w:pPr>
        <w:spacing w:before="0"/>
        <w:ind w:firstLine="0"/>
        <w:rPr>
          <w:bCs/>
          <w:i/>
          <w:sz w:val="22"/>
          <w:szCs w:val="22"/>
          <w:lang w:val="id-ID"/>
        </w:rPr>
      </w:pPr>
      <w:r w:rsidRPr="0088203A">
        <w:rPr>
          <w:bCs/>
          <w:i/>
          <w:sz w:val="22"/>
          <w:szCs w:val="22"/>
          <w:lang w:val="id-ID"/>
        </w:rPr>
        <w:t xml:space="preserve">This study examines the influence of Environmental, Social, and Governance (ESG) and Socially Responsible Investment (SRI) on firm value, proxied by Tobin's Q, with green innovation as a moderator variable. Rising global concerns about sustainability have prompted companies to integrate ESG practices and attract SRI-oriented investors. This study uses a quantitative approach with panel data from public companies. Data is collected from annual reports and sustainability reports. The analysis was carried out using regression analysis with moderation using panel data analysis, with the best models being FEM and GLS, which were more effective after model correction. The findings show that ESG and green innovation have a positive and significant impact on firm value, whereas SRI has no significant effect on firm value. In addition, green innovation strengthens the relationship between ESG and firm value, suggesting that companies engaged in green innovation get a higher market rating, but green innovation has no significant effect on the relationship between SRI and firm value. Control variables such as firm size also show a significant influence on the value of the company. The study contributes to the literature by highlighting the importance of sustainability practices and innovation in increasing company value. </w:t>
      </w:r>
    </w:p>
    <w:p w14:paraId="4D3B7A0E" w14:textId="77777777" w:rsidR="00F3424E" w:rsidRPr="0088203A" w:rsidRDefault="00F3424E" w:rsidP="00F3424E">
      <w:pPr>
        <w:spacing w:before="0"/>
        <w:ind w:firstLine="0"/>
        <w:rPr>
          <w:bCs/>
          <w:i/>
          <w:sz w:val="22"/>
          <w:szCs w:val="22"/>
          <w:lang w:val="id-ID"/>
        </w:rPr>
      </w:pPr>
    </w:p>
    <w:p w14:paraId="4C99CACE" w14:textId="5C115203" w:rsidR="00AB293F" w:rsidRPr="0088203A" w:rsidRDefault="00F3424E" w:rsidP="00F3424E">
      <w:pPr>
        <w:spacing w:before="0"/>
        <w:ind w:firstLine="0"/>
        <w:rPr>
          <w:iCs/>
          <w:sz w:val="22"/>
          <w:szCs w:val="22"/>
          <w:lang w:val="en-US"/>
        </w:rPr>
      </w:pPr>
      <w:r w:rsidRPr="0088203A">
        <w:rPr>
          <w:bCs/>
          <w:i/>
          <w:sz w:val="22"/>
          <w:szCs w:val="22"/>
          <w:lang w:val="id-ID"/>
        </w:rPr>
        <w:t>Keywords: ESG; SRI; firm value; green innovation; Tobin’s Q.</w:t>
      </w:r>
    </w:p>
    <w:p w14:paraId="5859F074" w14:textId="77777777" w:rsidR="00AB293F" w:rsidRPr="0088203A" w:rsidRDefault="00AB293F" w:rsidP="007F24CC">
      <w:pPr>
        <w:spacing w:before="0"/>
        <w:ind w:firstLine="0"/>
        <w:jc w:val="center"/>
        <w:rPr>
          <w:iCs/>
          <w:sz w:val="22"/>
          <w:szCs w:val="22"/>
          <w:lang w:val="en-US"/>
        </w:rPr>
        <w:sectPr w:rsidR="00AB293F" w:rsidRPr="0088203A" w:rsidSect="00232D95">
          <w:headerReference w:type="even" r:id="rId12"/>
          <w:headerReference w:type="default" r:id="rId13"/>
          <w:footerReference w:type="even" r:id="rId14"/>
          <w:footerReference w:type="default" r:id="rId15"/>
          <w:headerReference w:type="first" r:id="rId16"/>
          <w:pgSz w:w="11907" w:h="16840" w:code="9"/>
          <w:pgMar w:top="2268" w:right="1701" w:bottom="1701" w:left="2268" w:header="1134" w:footer="1134" w:gutter="0"/>
          <w:pgNumType w:start="165"/>
          <w:cols w:space="709"/>
          <w:docGrid w:linePitch="326"/>
        </w:sectPr>
      </w:pPr>
    </w:p>
    <w:p w14:paraId="5C7C4D8B" w14:textId="77777777" w:rsidR="00AB293F" w:rsidRPr="0088203A" w:rsidRDefault="00AB293F" w:rsidP="007F24CC">
      <w:pPr>
        <w:spacing w:before="0"/>
        <w:ind w:firstLine="0"/>
        <w:jc w:val="center"/>
        <w:rPr>
          <w:iCs/>
          <w:sz w:val="22"/>
          <w:szCs w:val="22"/>
          <w:lang w:val="en-US"/>
        </w:rPr>
      </w:pPr>
    </w:p>
    <w:p w14:paraId="4E951DA4" w14:textId="77777777" w:rsidR="00AB293F" w:rsidRDefault="00AB293F" w:rsidP="007F24CC">
      <w:pPr>
        <w:spacing w:before="0"/>
        <w:ind w:firstLine="0"/>
        <w:jc w:val="center"/>
        <w:rPr>
          <w:iCs/>
          <w:sz w:val="22"/>
          <w:szCs w:val="22"/>
          <w:lang w:val="en-US"/>
        </w:rPr>
      </w:pPr>
    </w:p>
    <w:p w14:paraId="0862756D" w14:textId="77777777" w:rsidR="001F62FF" w:rsidRDefault="001F62FF" w:rsidP="007F24CC">
      <w:pPr>
        <w:spacing w:before="0"/>
        <w:ind w:firstLine="0"/>
        <w:jc w:val="center"/>
        <w:rPr>
          <w:iCs/>
          <w:sz w:val="22"/>
          <w:szCs w:val="22"/>
          <w:lang w:val="en-US"/>
        </w:rPr>
      </w:pPr>
    </w:p>
    <w:p w14:paraId="703D10F0" w14:textId="77777777" w:rsidR="002113F2" w:rsidRDefault="002113F2" w:rsidP="007F24CC">
      <w:pPr>
        <w:spacing w:before="0"/>
        <w:ind w:firstLine="0"/>
        <w:jc w:val="center"/>
        <w:rPr>
          <w:iCs/>
          <w:sz w:val="22"/>
          <w:szCs w:val="22"/>
          <w:lang w:val="en-US"/>
        </w:rPr>
      </w:pPr>
    </w:p>
    <w:p w14:paraId="61910445" w14:textId="77777777" w:rsidR="002113F2" w:rsidRPr="0088203A" w:rsidRDefault="002113F2" w:rsidP="007F24CC">
      <w:pPr>
        <w:spacing w:before="0"/>
        <w:ind w:firstLine="0"/>
        <w:jc w:val="center"/>
        <w:rPr>
          <w:iCs/>
          <w:sz w:val="22"/>
          <w:szCs w:val="22"/>
          <w:lang w:val="en-US"/>
        </w:rPr>
      </w:pPr>
    </w:p>
    <w:p w14:paraId="5BE1AED2" w14:textId="77777777" w:rsidR="00D14DAF" w:rsidRPr="0088203A" w:rsidRDefault="00D14DAF" w:rsidP="007F24CC">
      <w:pPr>
        <w:spacing w:before="0"/>
        <w:ind w:firstLine="0"/>
        <w:rPr>
          <w:b/>
          <w:bCs/>
          <w:sz w:val="22"/>
          <w:szCs w:val="22"/>
          <w:lang w:val="en-US"/>
        </w:rPr>
        <w:sectPr w:rsidR="00D14DAF" w:rsidRPr="0088203A" w:rsidSect="00AB293F">
          <w:type w:val="continuous"/>
          <w:pgSz w:w="11907" w:h="16840" w:code="9"/>
          <w:pgMar w:top="2268" w:right="1701" w:bottom="1701" w:left="2268" w:header="1134" w:footer="1134" w:gutter="0"/>
          <w:pgNumType w:start="1"/>
          <w:cols w:num="2" w:space="709"/>
          <w:docGrid w:linePitch="326"/>
        </w:sectPr>
      </w:pPr>
    </w:p>
    <w:p w14:paraId="413C59C3" w14:textId="77777777" w:rsidR="007F24CC" w:rsidRPr="0088203A" w:rsidRDefault="00823C1D" w:rsidP="007F24CC">
      <w:pPr>
        <w:numPr>
          <w:ilvl w:val="0"/>
          <w:numId w:val="33"/>
        </w:numPr>
        <w:spacing w:before="0"/>
        <w:ind w:left="270" w:hanging="270"/>
        <w:rPr>
          <w:b/>
          <w:bCs/>
          <w:sz w:val="22"/>
          <w:szCs w:val="22"/>
        </w:rPr>
      </w:pPr>
      <w:r w:rsidRPr="0088203A">
        <w:rPr>
          <w:b/>
          <w:bCs/>
          <w:sz w:val="22"/>
          <w:szCs w:val="22"/>
        </w:rPr>
        <w:t>INTRODUCTION</w:t>
      </w:r>
    </w:p>
    <w:p w14:paraId="45A14705" w14:textId="77777777" w:rsidR="00F3424E" w:rsidRPr="0088203A" w:rsidRDefault="00F3424E" w:rsidP="00F3424E">
      <w:pPr>
        <w:spacing w:before="0"/>
        <w:ind w:firstLine="270"/>
        <w:rPr>
          <w:sz w:val="22"/>
          <w:szCs w:val="22"/>
        </w:rPr>
      </w:pPr>
      <w:r w:rsidRPr="0088203A">
        <w:rPr>
          <w:sz w:val="22"/>
          <w:szCs w:val="22"/>
        </w:rPr>
        <w:t xml:space="preserve">In recent years, sustainability has become a central concern for corporations, investors, and policymakers worldwide. Following the 2015 Paris Agreement, stakeholders have increasingly demanded that firms demonstrate stronger commitments to environmental, social, and governance (ESG) practices as part of their broader responsibility toward society and the environment (Boccaletti et al., 2024). This shift reflects not only ethical considerations but also the growing importance of sustainability in financial </w:t>
      </w:r>
      <w:r w:rsidRPr="0088203A">
        <w:rPr>
          <w:sz w:val="22"/>
          <w:szCs w:val="22"/>
        </w:rPr>
        <w:t>markets, where investors increasingly incorporate ESG information into their decision-making processes. As a result, ESG practices and Socially Responsible Investment (SRI) have evolved from niche concepts into mainstream investment strategies that influence firm valuation and long-term performance.</w:t>
      </w:r>
    </w:p>
    <w:p w14:paraId="572E5D03" w14:textId="77777777" w:rsidR="00F3424E" w:rsidRPr="0088203A" w:rsidRDefault="00F3424E" w:rsidP="00F3424E">
      <w:pPr>
        <w:spacing w:before="0"/>
        <w:ind w:firstLine="270"/>
        <w:rPr>
          <w:sz w:val="22"/>
          <w:szCs w:val="22"/>
        </w:rPr>
      </w:pPr>
      <w:r w:rsidRPr="0088203A">
        <w:rPr>
          <w:sz w:val="22"/>
          <w:szCs w:val="22"/>
        </w:rPr>
        <w:t xml:space="preserve">From a market perspective, ESG engagement is often associated with improved firm value through enhanced reputation, reduced risk, and stronger stakeholder relationships. Empirical evidence supports this view. For instance, Pulino et al. (2022) finds a </w:t>
      </w:r>
      <w:r w:rsidRPr="0088203A">
        <w:rPr>
          <w:sz w:val="22"/>
          <w:szCs w:val="22"/>
        </w:rPr>
        <w:lastRenderedPageBreak/>
        <w:t>positive relationship between ESG disclosure and firm performance in European firms, suggesting that transparency in sustainability practices enhances financial outcomes. Similarly, Nguyen et al. (2022) reports that ESG practices significantly improve financial performance, particularly market-based measures such as Tobin’s Q, indicating that investors place a higher valuation on firms with strong ESG engagement. In addition, ESG performance has been shown to reduce financial risk and enhance stability during periods of uncertainty Lööf et al. (2022), as well as lower the cost of debt in emerging regions such as ASEAN (Ariefianto et al., 2025).</w:t>
      </w:r>
    </w:p>
    <w:p w14:paraId="28B31FE5" w14:textId="77777777" w:rsidR="00F3424E" w:rsidRPr="0088203A" w:rsidRDefault="00F3424E" w:rsidP="00F3424E">
      <w:pPr>
        <w:spacing w:before="0"/>
        <w:ind w:firstLine="270"/>
        <w:rPr>
          <w:sz w:val="22"/>
          <w:szCs w:val="22"/>
        </w:rPr>
      </w:pPr>
      <w:r w:rsidRPr="0088203A">
        <w:rPr>
          <w:sz w:val="22"/>
          <w:szCs w:val="22"/>
        </w:rPr>
        <w:t xml:space="preserve">However, despite the growing body of literature, the relationship between ESG and firm value remains inconclusive. Several studies highlight conflicting findings and methodological inconsistencies. Lee et al. (2023) demonstrates that variations in ESG measurement across rating agencies can lead to inconsistent results, while Bilivogui and Iqbal (2025) shows that ESG dimensions affect firm performance differently across countries and contexts. Furthermore, Handoyo and Anas (2024) find that environmental and social dimensions do not always have a direct impact on firm performance in ASEAN, emphasizing the importance of institutional factors. These mixed results suggest that the ESG–firm value relationship is complex and may depend on additional mechanisms and contextual factors. In parallel, the role of SRI in influencing firm performance is also subject to debate. While SRI has expanded rapidly and encourages firms to adopt responsible practices (Camilleri, 2020; Sciarelli et al., 2021), questions remain regarding its effectiveness. Some studies suggest that SRI promotes ESG integration and sustainable finance, while others argue that SRI funds may not actively influence corporate behavior. </w:t>
      </w:r>
      <w:r w:rsidRPr="0088203A">
        <w:rPr>
          <w:sz w:val="22"/>
          <w:szCs w:val="22"/>
        </w:rPr>
        <w:t>For example, Heath et al. (2023) finds that although SRI funds invest in firms with strong ESG characteristics, they do not significantly drive changes in firm behavior, raising concerns about “impact washing.” Similarly, Alda (2021) shows that while conventional funds increasingly adopt ESG criteria, SRI funds still maintain stricter standards, indicating partial convergence but persistent differences in ethical commitment.</w:t>
      </w:r>
    </w:p>
    <w:p w14:paraId="7ADB6BEE" w14:textId="77777777" w:rsidR="00F3424E" w:rsidRPr="0088203A" w:rsidRDefault="00F3424E" w:rsidP="00F3424E">
      <w:pPr>
        <w:spacing w:before="0"/>
        <w:ind w:firstLine="270"/>
        <w:rPr>
          <w:sz w:val="22"/>
          <w:szCs w:val="22"/>
        </w:rPr>
      </w:pPr>
      <w:r w:rsidRPr="0088203A">
        <w:rPr>
          <w:sz w:val="22"/>
          <w:szCs w:val="22"/>
        </w:rPr>
        <w:t>Another important but relatively underexplored factor in this relationship is green innovation. Green innovation represents a strategic approach to achieving sustainability and long-term competitiveness by integrating environmental considerations into innovation processes (Qin et al., 2026). Prior studies suggest that green innovation enhances firm value and strengthens sustainability outcomes. For instance, Liu et al. (2025) find that green innovation positively moderates the relationship between sustainability disclosure and firm value, while Cabaleiro-Cerviño and Mendi (2024) demonstrate that ESG-driven firms exhibit superior innovation performance and competitiveness. Despite these insights, the moderating role of green innovation in the ESG-firm value relationship remains insufficiently examined, particularly in emerging market contexts.</w:t>
      </w:r>
    </w:p>
    <w:p w14:paraId="4EC87E33" w14:textId="77777777" w:rsidR="00F3424E" w:rsidRPr="0088203A" w:rsidRDefault="00F3424E" w:rsidP="00F3424E">
      <w:pPr>
        <w:spacing w:before="0"/>
        <w:ind w:firstLine="270"/>
        <w:rPr>
          <w:sz w:val="22"/>
          <w:szCs w:val="22"/>
        </w:rPr>
      </w:pPr>
      <w:r w:rsidRPr="0088203A">
        <w:rPr>
          <w:sz w:val="22"/>
          <w:szCs w:val="22"/>
        </w:rPr>
        <w:t xml:space="preserve">Based on the above discussion, several research gaps can be identified. First, the empirical relationship between ESG and firm value remains inconsistent across studies and contexts. Second, prior research has largely examined ESG and SRI separately, with limited integration of these variables within a unified framework. Third, the moderating role of green innovation has not been adequately explored, especially in emerging markets where institutional environments vary significantly. To address these gaps, this study is conducted in Malaysia, focusing </w:t>
      </w:r>
      <w:r w:rsidRPr="0088203A">
        <w:rPr>
          <w:sz w:val="22"/>
          <w:szCs w:val="22"/>
        </w:rPr>
        <w:lastRenderedPageBreak/>
        <w:t xml:space="preserve">on mining and manufacturing companies, two sectors that are highly exposed to environmental risks and sustainability pressures. The Malaysian context provides a unique setting due to its emerging market characteristics, evolving ESG regulations, and the strategic importance of resource-based and industrial sectors in its economy. Malaysia’s National Energy Transition Roadmap (NETR) serves as the primary strategic blueprint for shifting the country from a fossil fuel-based economy to a high-value, sustainable green economy by 2050. It provides the essential policy context for initiatives aimed at energy security, economic growth, and climate resilience. Therefore, this study aims to examine the relationship between ESG, SRI, and firm value, while incorporating green innovation as a moderating variable. Specifically, this study seeks to answer the following research questions: (1) Does ESG influence firm value? (2) Does SRI affect firm value? and (3) Does green innovation influence firm value? (4) Does green innovation strengthen the relationship between ESG and firm value? (5) Does green innovation strengthen the relationship between SRI and firm value? </w:t>
      </w:r>
    </w:p>
    <w:p w14:paraId="6AF931E3" w14:textId="7C9E445D" w:rsidR="00F3424E" w:rsidRPr="0088203A" w:rsidRDefault="00F3424E" w:rsidP="00F3424E">
      <w:pPr>
        <w:spacing w:before="0"/>
        <w:ind w:firstLine="270"/>
        <w:rPr>
          <w:sz w:val="22"/>
          <w:szCs w:val="22"/>
        </w:rPr>
      </w:pPr>
      <w:r w:rsidRPr="0088203A">
        <w:rPr>
          <w:sz w:val="22"/>
          <w:szCs w:val="22"/>
        </w:rPr>
        <w:t xml:space="preserve">This study offers several important contributions. Theoretically, it extends stakeholder theory and signaling theory by integrating ESG, SRI, and green innovation into a comprehensive framework for explaining firm value. Empirically, it provides sector-specific evidence from Malaysia’s mining and manufacturing industries, which remain underexplored in prior ESG research. Compared to previous studies that largely focus on developed markets or aggregate samples, this study captures industry-specific sustainability dynamics and offers more context-relevant insights. Methodologically, it employs a moderation model to capture the conditional effect of green innovation, </w:t>
      </w:r>
      <w:r w:rsidRPr="0088203A">
        <w:rPr>
          <w:sz w:val="22"/>
          <w:szCs w:val="22"/>
        </w:rPr>
        <w:t>providing a deeper understanding of how sustainability practices translate into firm value under different strategic conditions.</w:t>
      </w:r>
    </w:p>
    <w:p w14:paraId="303D40DA" w14:textId="77777777" w:rsidR="00F3424E" w:rsidRPr="0088203A" w:rsidRDefault="00F3424E" w:rsidP="007F24CC">
      <w:pPr>
        <w:spacing w:before="0"/>
        <w:ind w:firstLine="270"/>
        <w:rPr>
          <w:b/>
          <w:bCs/>
          <w:sz w:val="22"/>
          <w:szCs w:val="22"/>
        </w:rPr>
      </w:pPr>
    </w:p>
    <w:p w14:paraId="0B6C2C1D" w14:textId="77777777" w:rsidR="00F3424E" w:rsidRPr="0088203A" w:rsidRDefault="00F3424E" w:rsidP="007F24CC">
      <w:pPr>
        <w:spacing w:before="0"/>
        <w:ind w:firstLine="270"/>
        <w:rPr>
          <w:b/>
          <w:bCs/>
          <w:sz w:val="22"/>
          <w:szCs w:val="22"/>
        </w:rPr>
      </w:pPr>
    </w:p>
    <w:p w14:paraId="1E2B672D" w14:textId="223604DD" w:rsidR="002F1A93" w:rsidRPr="0088203A" w:rsidRDefault="00AD2900" w:rsidP="006B08C9">
      <w:pPr>
        <w:widowControl w:val="0"/>
        <w:numPr>
          <w:ilvl w:val="0"/>
          <w:numId w:val="33"/>
        </w:numPr>
        <w:adjustRightInd w:val="0"/>
        <w:spacing w:before="0"/>
        <w:ind w:left="270" w:hanging="297"/>
        <w:rPr>
          <w:b/>
          <w:bCs/>
          <w:sz w:val="22"/>
          <w:szCs w:val="22"/>
        </w:rPr>
      </w:pPr>
      <w:r w:rsidRPr="0088203A">
        <w:rPr>
          <w:b/>
          <w:bCs/>
          <w:sz w:val="22"/>
          <w:szCs w:val="22"/>
        </w:rPr>
        <w:t>LITERATURE REVIEW</w:t>
      </w:r>
    </w:p>
    <w:p w14:paraId="0F662EA6" w14:textId="3CED74F7" w:rsidR="006B08C9" w:rsidRPr="0088203A" w:rsidRDefault="00F3424E" w:rsidP="0004527E">
      <w:pPr>
        <w:widowControl w:val="0"/>
        <w:adjustRightInd w:val="0"/>
        <w:ind w:firstLine="0"/>
        <w:rPr>
          <w:b/>
          <w:bCs/>
          <w:sz w:val="22"/>
          <w:szCs w:val="22"/>
        </w:rPr>
      </w:pPr>
      <w:r w:rsidRPr="0088203A">
        <w:rPr>
          <w:b/>
          <w:bCs/>
          <w:sz w:val="22"/>
          <w:szCs w:val="22"/>
        </w:rPr>
        <w:t>Signaling Theory</w:t>
      </w:r>
    </w:p>
    <w:p w14:paraId="4C57B143" w14:textId="77777777" w:rsidR="00F3424E" w:rsidRPr="0088203A" w:rsidRDefault="00F3424E" w:rsidP="00F3424E">
      <w:pPr>
        <w:widowControl w:val="0"/>
        <w:adjustRightInd w:val="0"/>
        <w:spacing w:before="0"/>
        <w:rPr>
          <w:sz w:val="22"/>
          <w:szCs w:val="22"/>
        </w:rPr>
      </w:pPr>
      <w:r w:rsidRPr="0088203A">
        <w:rPr>
          <w:sz w:val="22"/>
          <w:szCs w:val="22"/>
        </w:rPr>
        <w:t xml:space="preserve">Signaling theory provides a strong foundation for understanding how firms communicate their sustainability practices to external stakeholders. In the presence of information asymmetry, firms use disclosures, such as ESG reporting, as signals to convey their quality, credibility, and long-term prospects to investors and the market. Signaling theory is used to explain that green accounting, ESG, SRI, and green innovation practices can be positive signals for investors and the market. Companies that demonstrate a commitment to sustainability strive to build the perception that the company has good governance, long-term prospects, and the ability to adapt to the demands of the modern business environment. However, not all signals are equally credible. Prior studies suggest that sustainability disclosures can sometimes function as weak or symbolic signals, especially when firms highlight positive environmental or social claims without substantive actions (Cho et al., 2015). In such cases, ESG reporting may serve more as a legitimacy tool rather than a reliable indicator of actual performance. Conversely, when firms invest in credible and verifiable ESG practices, these disclosures can act as strong signals that reduce information asymmetry and enhance investor trust. For example, firms adopting Global Reporting Initiative (GRI)-based disclosures use sustainability reporting to signal transparency, although limited assurance reduces signal credibility (Kuzey &amp; Uyar, 2017). Similarly, governance structures and CSR disclosures have been shown to signal firm quality and reduce </w:t>
      </w:r>
      <w:r w:rsidRPr="0088203A">
        <w:rPr>
          <w:sz w:val="22"/>
          <w:szCs w:val="22"/>
        </w:rPr>
        <w:lastRenderedPageBreak/>
        <w:t xml:space="preserve">uncertainty, particularly in regulated industries such as banking (Kiliç et al., 2015). Empirical evidence further suggests that firms with stronger ESG performance tend to produce more credible disclosures, reinforcing the signaling mechanism (Uyar et al., 2020). </w:t>
      </w:r>
    </w:p>
    <w:p w14:paraId="1E0F2473" w14:textId="5B38421C" w:rsidR="00F3424E" w:rsidRPr="0088203A" w:rsidRDefault="00F3424E" w:rsidP="00F3424E">
      <w:pPr>
        <w:widowControl w:val="0"/>
        <w:adjustRightInd w:val="0"/>
        <w:spacing w:before="0"/>
        <w:rPr>
          <w:sz w:val="22"/>
          <w:szCs w:val="22"/>
        </w:rPr>
      </w:pPr>
      <w:r w:rsidRPr="0088203A">
        <w:rPr>
          <w:sz w:val="22"/>
          <w:szCs w:val="22"/>
        </w:rPr>
        <w:t>Importantly, the effectiveness of ESG as a signal depends on context. In environments characterized by weak institutions, sustainability disclosures can enhance legitimacy and indirectly improve firm performance (Wei et al., 2017). However, misleading signals or greenwashing may damage credibility and trigger negative stakeholder reactions (Torelli et al., 2020). This dual nature of ESG signaling helps explain the mixed empirical findings in the literature and highlights the need to examine additional mechanisms that strengthen signal credibility, such as green innovation.</w:t>
      </w:r>
    </w:p>
    <w:p w14:paraId="032D0137" w14:textId="77777777" w:rsidR="006B08C9" w:rsidRPr="0088203A" w:rsidRDefault="006B08C9" w:rsidP="00F3424E">
      <w:pPr>
        <w:widowControl w:val="0"/>
        <w:adjustRightInd w:val="0"/>
        <w:spacing w:before="0"/>
        <w:ind w:firstLine="0"/>
        <w:rPr>
          <w:b/>
          <w:bCs/>
          <w:sz w:val="22"/>
          <w:szCs w:val="22"/>
        </w:rPr>
      </w:pPr>
    </w:p>
    <w:p w14:paraId="578C9470" w14:textId="06DDE565" w:rsidR="00F3424E" w:rsidRPr="0088203A" w:rsidRDefault="00F3424E" w:rsidP="00F3424E">
      <w:pPr>
        <w:widowControl w:val="0"/>
        <w:adjustRightInd w:val="0"/>
        <w:spacing w:before="0"/>
        <w:ind w:firstLine="0"/>
        <w:rPr>
          <w:b/>
          <w:bCs/>
          <w:sz w:val="22"/>
          <w:szCs w:val="22"/>
        </w:rPr>
      </w:pPr>
      <w:r w:rsidRPr="0088203A">
        <w:rPr>
          <w:b/>
          <w:bCs/>
          <w:sz w:val="22"/>
          <w:szCs w:val="22"/>
        </w:rPr>
        <w:t>ESG and Firm Value</w:t>
      </w:r>
    </w:p>
    <w:p w14:paraId="454435C3" w14:textId="77777777" w:rsidR="00F3424E" w:rsidRPr="0088203A" w:rsidRDefault="00F3424E" w:rsidP="00F3424E">
      <w:pPr>
        <w:widowControl w:val="0"/>
        <w:adjustRightInd w:val="0"/>
        <w:spacing w:before="0"/>
        <w:ind w:firstLine="270"/>
        <w:rPr>
          <w:sz w:val="22"/>
          <w:szCs w:val="22"/>
        </w:rPr>
      </w:pPr>
      <w:r w:rsidRPr="0088203A">
        <w:rPr>
          <w:sz w:val="22"/>
          <w:szCs w:val="22"/>
        </w:rPr>
        <w:t xml:space="preserve">From a signaling perspective, ESG practices are expected to positively influence firm value by conveying information about a firm’s long-term sustainability and risk management capabilities. Strong ESG performance signals better governance, reduced environmental risk, and stronger stakeholder relationships, which can enhance investor confidence and market valuation. Empirical evidence generally supports this positive relationship. Pulino et al. (2022) find that ESG disclosure improves firm performance, suggesting that transparency serves as a credible signal to stakeholders. Similarly, Nguyen et al. (2022) show that ESG practices significantly enhance firm value, particularly Tobin’s Q, indicating that investors reward firms with strong sustainability engagement. Additionally, ESG performance has been found to reduce downside risk during periods of market turbulence, reinforcing its value as a protective signal (Lööf et al., 2022). </w:t>
      </w:r>
      <w:r w:rsidRPr="0088203A">
        <w:rPr>
          <w:sz w:val="22"/>
          <w:szCs w:val="22"/>
        </w:rPr>
        <w:t>In emerging markets, ESG disclosure also lowers the cost of debt, further enhancing firm value (Ariefianto et al., 2025).</w:t>
      </w:r>
    </w:p>
    <w:p w14:paraId="64CF58EC" w14:textId="77777777" w:rsidR="00F3424E" w:rsidRPr="0088203A" w:rsidRDefault="00F3424E" w:rsidP="00F3424E">
      <w:pPr>
        <w:widowControl w:val="0"/>
        <w:adjustRightInd w:val="0"/>
        <w:spacing w:before="0"/>
        <w:ind w:firstLine="270"/>
        <w:rPr>
          <w:sz w:val="22"/>
          <w:szCs w:val="22"/>
        </w:rPr>
      </w:pPr>
      <w:r w:rsidRPr="0088203A">
        <w:rPr>
          <w:sz w:val="22"/>
          <w:szCs w:val="22"/>
        </w:rPr>
        <w:t>However, the relationship is not universally positive. Some studies report inconsistent or even negative effects. Lee et al. (2023) highlights that differences in ESG measurement across rating agencies can lead to contradictory findings, while Bilivogui and Iqbal (2025) show that ESG dimensions affect performance differently across countries. Furthermore, ESG investments may impose short-term costs, potentially reducing profitability in the short run. These conflicting findings suggest that the ESG–firm value relationship is contingent on contextual and strategic factors. Recent evidence also indicates that ESG plays a risk-mitigating role during external shocks. Boccaletti et al. (2024) find that firms with higher ESG scores experience less negative stock market reactions during geopolitical crises, suggesting that ESG acts as a resilience signal. Therefore, despite mixed findings, signaling theory suggests that ESG is more likely to enhance firm value when it is perceived as credible and value-relevant.</w:t>
      </w:r>
    </w:p>
    <w:p w14:paraId="366D89A7" w14:textId="019342D6" w:rsidR="00F3424E" w:rsidRPr="0088203A" w:rsidRDefault="00F3424E" w:rsidP="00F3424E">
      <w:pPr>
        <w:widowControl w:val="0"/>
        <w:adjustRightInd w:val="0"/>
        <w:spacing w:before="0"/>
        <w:ind w:firstLine="0"/>
        <w:rPr>
          <w:sz w:val="22"/>
          <w:szCs w:val="22"/>
        </w:rPr>
      </w:pPr>
      <w:r w:rsidRPr="0088203A">
        <w:rPr>
          <w:sz w:val="22"/>
          <w:szCs w:val="22"/>
        </w:rPr>
        <w:t>H1: ESG has a positive effect on firm value.</w:t>
      </w:r>
    </w:p>
    <w:p w14:paraId="4890491F" w14:textId="77777777" w:rsidR="00AB293F" w:rsidRPr="0088203A" w:rsidRDefault="00AB293F" w:rsidP="00F3424E">
      <w:pPr>
        <w:widowControl w:val="0"/>
        <w:adjustRightInd w:val="0"/>
        <w:spacing w:before="0"/>
        <w:ind w:left="567" w:firstLine="0"/>
        <w:rPr>
          <w:sz w:val="22"/>
          <w:szCs w:val="22"/>
        </w:rPr>
      </w:pPr>
    </w:p>
    <w:p w14:paraId="0F927544" w14:textId="6D796564" w:rsidR="00F3424E" w:rsidRPr="0088203A" w:rsidRDefault="00F3424E" w:rsidP="00F3424E">
      <w:pPr>
        <w:widowControl w:val="0"/>
        <w:adjustRightInd w:val="0"/>
        <w:spacing w:before="0"/>
        <w:ind w:firstLine="0"/>
        <w:rPr>
          <w:b/>
          <w:bCs/>
          <w:sz w:val="22"/>
          <w:szCs w:val="22"/>
        </w:rPr>
      </w:pPr>
      <w:r w:rsidRPr="0088203A">
        <w:rPr>
          <w:b/>
          <w:bCs/>
          <w:sz w:val="22"/>
          <w:szCs w:val="22"/>
        </w:rPr>
        <w:t>SRI and Firm Value</w:t>
      </w:r>
    </w:p>
    <w:p w14:paraId="687432F2" w14:textId="77777777" w:rsidR="00F3424E" w:rsidRPr="0088203A" w:rsidRDefault="00F3424E" w:rsidP="00F3424E">
      <w:pPr>
        <w:widowControl w:val="0"/>
        <w:adjustRightInd w:val="0"/>
        <w:spacing w:before="0"/>
        <w:ind w:firstLine="360"/>
        <w:rPr>
          <w:sz w:val="22"/>
          <w:szCs w:val="22"/>
          <w:lang w:val="en"/>
        </w:rPr>
      </w:pPr>
      <w:r w:rsidRPr="0088203A">
        <w:rPr>
          <w:sz w:val="22"/>
          <w:szCs w:val="22"/>
          <w:lang w:val="en"/>
        </w:rPr>
        <w:t xml:space="preserve">Socially Responsible Investment (SRI) represents the demand-side mechanism of ESG, where investors allocate capital based on ethical and sustainability criteria. From a signaling perspective, firms included in SRI portfolios receive a positive signal from the market, indicating that they meet certain ESG standards. This can enhance firm reputation, attract long-term investors, and ultimately increase firm value. The growth of SRI reflects a structural shift in financial markets, where investors increasingly integrate ESG considerations into investment </w:t>
      </w:r>
      <w:r w:rsidRPr="0088203A">
        <w:rPr>
          <w:sz w:val="22"/>
          <w:szCs w:val="22"/>
          <w:lang w:val="en"/>
        </w:rPr>
        <w:lastRenderedPageBreak/>
        <w:t>decisions (Camilleri, 2020). SRI strategies encourage firms to adopt sustainable practices, contributing to long-term value creation (</w:t>
      </w:r>
      <w:proofErr w:type="spellStart"/>
      <w:r w:rsidRPr="0088203A">
        <w:rPr>
          <w:sz w:val="22"/>
          <w:szCs w:val="22"/>
          <w:lang w:val="en"/>
        </w:rPr>
        <w:t>Sciarelli</w:t>
      </w:r>
      <w:proofErr w:type="spellEnd"/>
      <w:r w:rsidRPr="0088203A">
        <w:rPr>
          <w:sz w:val="22"/>
          <w:szCs w:val="22"/>
          <w:lang w:val="en"/>
        </w:rPr>
        <w:t xml:space="preserve"> et al., 2021). Moreover, SRI funds tend to select firms with superior environmental and social characteristics, reinforcing the link between sustainability and firm performance (Heath et al., 2023).</w:t>
      </w:r>
    </w:p>
    <w:p w14:paraId="436EBFDE" w14:textId="3FD1A358" w:rsidR="00F3424E" w:rsidRPr="0088203A" w:rsidRDefault="00F3424E" w:rsidP="00F3424E">
      <w:pPr>
        <w:widowControl w:val="0"/>
        <w:adjustRightInd w:val="0"/>
        <w:spacing w:before="0"/>
        <w:ind w:firstLine="360"/>
        <w:rPr>
          <w:b/>
          <w:bCs/>
          <w:sz w:val="22"/>
          <w:szCs w:val="22"/>
        </w:rPr>
      </w:pPr>
      <w:r w:rsidRPr="0088203A">
        <w:rPr>
          <w:sz w:val="22"/>
          <w:szCs w:val="22"/>
          <w:lang w:val="en"/>
        </w:rPr>
        <w:t>However, the effectiveness of SRI remains debated. Some studies suggest that SRI does not actively influence firm behavior, raising concerns about “impact washing,” where funds invest in ESG-compliant firms without driving real change (Heath et al., 2023). Additionally, the convergence between conventional and SRI funds indicates that ESG integration is becoming widespread, potentially reducing the distinct advantage of SRI strategies (Alda, 2021). From a financial perspective, SRI may also involve trade-offs between ethical screening and return maximization. Despite these concerns, theoretical arguments suggest that SRI can enhance firm value by signaling investor confidence and long-term commitment. The increasing demand for sustainable investments creates market incentives for firms to improve ESG performance, thereby strengthening their valuation.</w:t>
      </w:r>
    </w:p>
    <w:p w14:paraId="3997F242" w14:textId="0AC373EE" w:rsidR="006B08C9" w:rsidRPr="0088203A" w:rsidRDefault="00F3424E" w:rsidP="00F3424E">
      <w:pPr>
        <w:pStyle w:val="NormalIndent"/>
        <w:ind w:firstLine="0"/>
        <w:jc w:val="both"/>
        <w:rPr>
          <w:sz w:val="22"/>
          <w:szCs w:val="22"/>
          <w:lang w:val="en"/>
        </w:rPr>
      </w:pPr>
      <w:r w:rsidRPr="0088203A">
        <w:rPr>
          <w:sz w:val="22"/>
          <w:szCs w:val="22"/>
          <w:lang w:val="en"/>
        </w:rPr>
        <w:t>H2: SRI affects firm value</w:t>
      </w:r>
    </w:p>
    <w:p w14:paraId="567E9705" w14:textId="77777777" w:rsidR="00F3424E" w:rsidRPr="0088203A" w:rsidRDefault="00F3424E" w:rsidP="00F3424E">
      <w:pPr>
        <w:pStyle w:val="NormalIndent"/>
        <w:ind w:firstLine="0"/>
        <w:jc w:val="both"/>
        <w:rPr>
          <w:sz w:val="22"/>
          <w:szCs w:val="22"/>
          <w:lang w:val="en"/>
        </w:rPr>
      </w:pPr>
    </w:p>
    <w:p w14:paraId="7B7E24C5" w14:textId="5BAA3707" w:rsidR="00F3424E" w:rsidRPr="0088203A" w:rsidRDefault="00F3424E" w:rsidP="00F3424E">
      <w:pPr>
        <w:pStyle w:val="NormalIndent"/>
        <w:ind w:firstLine="0"/>
        <w:jc w:val="both"/>
        <w:rPr>
          <w:b/>
          <w:bCs/>
          <w:sz w:val="22"/>
          <w:szCs w:val="22"/>
          <w:lang w:val="en"/>
        </w:rPr>
      </w:pPr>
      <w:r w:rsidRPr="0088203A">
        <w:rPr>
          <w:b/>
          <w:bCs/>
          <w:sz w:val="22"/>
          <w:szCs w:val="22"/>
          <w:lang w:val="en"/>
        </w:rPr>
        <w:t>Green Innovation as a Moderating Variable</w:t>
      </w:r>
    </w:p>
    <w:p w14:paraId="79A29AD2" w14:textId="77777777" w:rsidR="00F3424E" w:rsidRPr="0088203A" w:rsidRDefault="00F3424E" w:rsidP="00F3424E">
      <w:pPr>
        <w:pStyle w:val="NormalIndent"/>
        <w:ind w:firstLine="450"/>
        <w:jc w:val="both"/>
        <w:rPr>
          <w:sz w:val="22"/>
          <w:szCs w:val="22"/>
          <w:lang w:val="en"/>
        </w:rPr>
      </w:pPr>
      <w:r w:rsidRPr="0088203A">
        <w:rPr>
          <w:sz w:val="22"/>
          <w:szCs w:val="22"/>
          <w:lang w:val="en"/>
        </w:rPr>
        <w:t xml:space="preserve">Green innovation plays a critical role in strengthening the credibility of ESG signals. While ESG disclosure alone may be perceived as symbolic or subject to greenwashing, the integration of green innovation reflects substantive commitment to sustainability. From a signaling perspective, green innovation enhances the credibility of ESG by demonstrating that firms translate sustainability goals into concrete actions. Green innovation has been widely recognized as a driver of long-term competitiveness and value creation. </w:t>
      </w:r>
      <w:r w:rsidRPr="0088203A">
        <w:rPr>
          <w:sz w:val="22"/>
          <w:szCs w:val="22"/>
          <w:lang w:val="en"/>
        </w:rPr>
        <w:t>Firms that invest in environmentally friendly technologies and processes not only reduce environmental risks but also improve efficiency and innovation performance (Cabaleiro-Cerviño &amp; Mendi, 2024). Empirical evidence shows that green innovation positively influences firm value and can act as a mechanism through which sustainability practices generate financial benefits (</w:t>
      </w:r>
      <w:proofErr w:type="spellStart"/>
      <w:r w:rsidRPr="0088203A">
        <w:rPr>
          <w:sz w:val="22"/>
          <w:szCs w:val="22"/>
          <w:lang w:val="en"/>
        </w:rPr>
        <w:t>Asni</w:t>
      </w:r>
      <w:proofErr w:type="spellEnd"/>
      <w:r w:rsidRPr="0088203A">
        <w:rPr>
          <w:sz w:val="22"/>
          <w:szCs w:val="22"/>
          <w:lang w:val="en"/>
        </w:rPr>
        <w:t xml:space="preserve"> &amp; Agustia, 2022).</w:t>
      </w:r>
    </w:p>
    <w:p w14:paraId="41A13207" w14:textId="77777777" w:rsidR="00F3424E" w:rsidRPr="0088203A" w:rsidRDefault="00F3424E" w:rsidP="00F3424E">
      <w:pPr>
        <w:pStyle w:val="NormalIndent"/>
        <w:ind w:firstLine="450"/>
        <w:jc w:val="both"/>
        <w:rPr>
          <w:sz w:val="22"/>
          <w:szCs w:val="22"/>
          <w:lang w:val="en"/>
        </w:rPr>
      </w:pPr>
      <w:r w:rsidRPr="0088203A">
        <w:rPr>
          <w:sz w:val="22"/>
          <w:szCs w:val="22"/>
          <w:lang w:val="en"/>
        </w:rPr>
        <w:t>More importantly, recent studies highlight the moderating role of green innovation. Liu et al. (2025) find that green innovation strengthens the relationship between sustainability disclosure and firm value, particularly under supportive regulatory environments. Similarly, Xiao et al. (2024) shows that ESG-related disclosures can stimulate green innovation, which in turn enhances firm value. These findings suggest that green innovation serves as a reinforcing mechanism that amplifies the positive effects of ESG. From a theoretical perspective, green innovation transforms ESG from a potentially weak signal into a credible and value-relevant one. It aligns environmental responsibility with economic outcomes, reducing skepticism among investors and increasing the likelihood that ESG practices are rewarded in the market.</w:t>
      </w:r>
    </w:p>
    <w:p w14:paraId="500A55A0" w14:textId="02B700AA" w:rsidR="00F3424E" w:rsidRPr="0088203A" w:rsidRDefault="00F3424E" w:rsidP="00F3424E">
      <w:pPr>
        <w:pStyle w:val="NormalIndent"/>
        <w:ind w:firstLine="450"/>
        <w:jc w:val="both"/>
        <w:rPr>
          <w:sz w:val="22"/>
          <w:szCs w:val="22"/>
          <w:lang w:val="en"/>
        </w:rPr>
      </w:pPr>
      <w:r w:rsidRPr="0088203A">
        <w:rPr>
          <w:sz w:val="22"/>
          <w:szCs w:val="22"/>
          <w:lang w:val="en"/>
        </w:rPr>
        <w:t>Socially Responsible Investment (SRI) is the process of incorporating personal ideals and societal concerns into investment decisions in order to achieve better corporate accountability (</w:t>
      </w:r>
      <w:proofErr w:type="spellStart"/>
      <w:r w:rsidRPr="0088203A">
        <w:rPr>
          <w:sz w:val="22"/>
          <w:szCs w:val="22"/>
          <w:lang w:val="en"/>
        </w:rPr>
        <w:t>Risalvato</w:t>
      </w:r>
      <w:proofErr w:type="spellEnd"/>
      <w:r w:rsidRPr="0088203A">
        <w:rPr>
          <w:sz w:val="22"/>
          <w:szCs w:val="22"/>
          <w:lang w:val="en"/>
        </w:rPr>
        <w:t xml:space="preserve"> et al., 2019). Investors have been particularly interested in the relationship between SRI and performance. Several research have looked into the relationship between SRI and financial returns, and the findings are mixed. However, most studies indicate that SRI does not reduce investment returns (</w:t>
      </w:r>
      <w:proofErr w:type="spellStart"/>
      <w:r w:rsidRPr="0088203A">
        <w:rPr>
          <w:sz w:val="22"/>
          <w:szCs w:val="22"/>
          <w:lang w:val="en"/>
        </w:rPr>
        <w:t>AitElMekki</w:t>
      </w:r>
      <w:proofErr w:type="spellEnd"/>
      <w:r w:rsidRPr="0088203A">
        <w:rPr>
          <w:sz w:val="22"/>
          <w:szCs w:val="22"/>
          <w:lang w:val="en"/>
        </w:rPr>
        <w:t>, 2020); (</w:t>
      </w:r>
      <w:proofErr w:type="spellStart"/>
      <w:r w:rsidRPr="0088203A">
        <w:rPr>
          <w:sz w:val="22"/>
          <w:szCs w:val="22"/>
          <w:lang w:val="en"/>
        </w:rPr>
        <w:t>Risalvato</w:t>
      </w:r>
      <w:proofErr w:type="spellEnd"/>
      <w:r w:rsidRPr="0088203A">
        <w:rPr>
          <w:sz w:val="22"/>
          <w:szCs w:val="22"/>
          <w:lang w:val="en"/>
        </w:rPr>
        <w:t xml:space="preserve"> et al., 2019). Socially Responsible Investment/Sustainable Responsible Investment (SRI) reflects </w:t>
      </w:r>
      <w:r w:rsidRPr="0088203A">
        <w:rPr>
          <w:sz w:val="22"/>
          <w:szCs w:val="22"/>
          <w:lang w:val="en"/>
        </w:rPr>
        <w:lastRenderedPageBreak/>
        <w:t xml:space="preserve">the preference of external investors for companies that have a commitment to social, environmental, and governance aspects. In the perspective of signaling theory, a company's involvement in SRI can be a positive signal for investors because it shows that the company is paying attention to sustainability and non-financial risks in its business activities. However, the influence of SRI on financial performance does not always occur directly, as investors also need proof that the sustainability commitment is actually implemented in the company's operational strategy. In this context, green innovation plays a role as an internal mechanism that can strengthen the credibility of SRI signals. Green innovation shows that the company not only meets investor expectations symbolically, but also makes real innovations through the development of more environmentally friendly products, processes, or technologies. When SRI-oriented companies also have a high level of green innovation, investors tend to </w:t>
      </w:r>
      <w:r w:rsidRPr="0088203A">
        <w:rPr>
          <w:sz w:val="22"/>
          <w:szCs w:val="22"/>
          <w:lang w:val="en"/>
        </w:rPr>
        <w:t xml:space="preserve">judge that the company's sustainability commitments are more substantial, credible, and have the potential to create long-term economic value. Thus, green innovation can affect the relationship between SRI and financial performance because green innovation is concrete evidence that external investors' preference for sustainability is supported by the company's internal capabilities. Companies with high green innovation are better able to turn the pressure and preferences of sustainable investors into reputation, operational efficiency, competitive advantage, and improved financial performance. </w:t>
      </w:r>
    </w:p>
    <w:p w14:paraId="35C4E6EC" w14:textId="77777777" w:rsidR="00F3424E" w:rsidRPr="0088203A" w:rsidRDefault="00F3424E" w:rsidP="00F3424E">
      <w:pPr>
        <w:pStyle w:val="NormalIndent"/>
        <w:tabs>
          <w:tab w:val="left" w:pos="90"/>
        </w:tabs>
        <w:ind w:left="540" w:hanging="540"/>
        <w:jc w:val="both"/>
        <w:rPr>
          <w:sz w:val="22"/>
          <w:szCs w:val="22"/>
          <w:lang w:val="en"/>
        </w:rPr>
      </w:pPr>
      <w:r w:rsidRPr="0088203A">
        <w:rPr>
          <w:sz w:val="22"/>
          <w:szCs w:val="22"/>
          <w:lang w:val="en"/>
        </w:rPr>
        <w:t xml:space="preserve">H3: Green innovation has a positive effect on firm value. </w:t>
      </w:r>
    </w:p>
    <w:p w14:paraId="46E7E27E" w14:textId="77777777" w:rsidR="00F3424E" w:rsidRPr="0088203A" w:rsidRDefault="00F3424E" w:rsidP="00F3424E">
      <w:pPr>
        <w:pStyle w:val="NormalIndent"/>
        <w:ind w:left="630" w:hanging="630"/>
        <w:jc w:val="both"/>
        <w:rPr>
          <w:sz w:val="22"/>
          <w:szCs w:val="22"/>
          <w:lang w:val="en"/>
        </w:rPr>
      </w:pPr>
      <w:r w:rsidRPr="0088203A">
        <w:rPr>
          <w:sz w:val="22"/>
          <w:szCs w:val="22"/>
          <w:lang w:val="en"/>
        </w:rPr>
        <w:t>H4: Green innovation positively moderates the relationship between ESG and firm value.</w:t>
      </w:r>
    </w:p>
    <w:p w14:paraId="7D22516E" w14:textId="7E52BB49" w:rsidR="00F3424E" w:rsidRPr="0088203A" w:rsidRDefault="00F3424E" w:rsidP="00F3424E">
      <w:pPr>
        <w:pStyle w:val="NormalIndent"/>
        <w:ind w:left="450" w:hanging="450"/>
        <w:jc w:val="both"/>
        <w:rPr>
          <w:sz w:val="22"/>
          <w:szCs w:val="22"/>
          <w:lang w:val="en"/>
        </w:rPr>
      </w:pPr>
      <w:r w:rsidRPr="0088203A">
        <w:rPr>
          <w:sz w:val="22"/>
          <w:szCs w:val="22"/>
          <w:lang w:val="en"/>
        </w:rPr>
        <w:t>H5: Green innovation moderates the relationship between SRI and firm value.</w:t>
      </w:r>
    </w:p>
    <w:p w14:paraId="3568A2CF" w14:textId="77777777" w:rsidR="00F3424E" w:rsidRPr="0088203A" w:rsidRDefault="00F3424E" w:rsidP="00F3424E">
      <w:pPr>
        <w:pStyle w:val="NormalIndent"/>
        <w:ind w:firstLine="0"/>
        <w:jc w:val="both"/>
        <w:rPr>
          <w:b/>
          <w:bCs/>
          <w:sz w:val="22"/>
          <w:szCs w:val="22"/>
          <w:lang w:val="en"/>
        </w:rPr>
      </w:pPr>
    </w:p>
    <w:p w14:paraId="095BD934" w14:textId="77777777" w:rsidR="00F3424E" w:rsidRPr="0088203A" w:rsidRDefault="00F3424E" w:rsidP="007F24CC">
      <w:pPr>
        <w:pStyle w:val="NormalIndent"/>
        <w:ind w:firstLine="0"/>
        <w:rPr>
          <w:sz w:val="22"/>
          <w:szCs w:val="22"/>
          <w:lang w:val="en"/>
        </w:rPr>
        <w:sectPr w:rsidR="00F3424E" w:rsidRPr="0088203A" w:rsidSect="00232D95">
          <w:type w:val="continuous"/>
          <w:pgSz w:w="11907" w:h="16840" w:code="9"/>
          <w:pgMar w:top="2268" w:right="1701" w:bottom="1701" w:left="2268" w:header="454" w:footer="567" w:gutter="0"/>
          <w:pgNumType w:start="166"/>
          <w:cols w:num="2" w:space="709"/>
          <w:docGrid w:linePitch="326"/>
        </w:sectPr>
      </w:pPr>
    </w:p>
    <w:p w14:paraId="6AE1A326" w14:textId="77777777" w:rsidR="006C6B04" w:rsidRPr="0088203A" w:rsidRDefault="006C6B04" w:rsidP="007F24CC">
      <w:pPr>
        <w:pStyle w:val="NormalIndent"/>
        <w:ind w:firstLine="0"/>
        <w:rPr>
          <w:sz w:val="22"/>
          <w:szCs w:val="22"/>
          <w:lang w:val="en"/>
        </w:rPr>
      </w:pPr>
    </w:p>
    <w:p w14:paraId="073911A9" w14:textId="77777777" w:rsidR="006B08C9" w:rsidRPr="0088203A" w:rsidRDefault="006B08C9" w:rsidP="007F24CC">
      <w:pPr>
        <w:pStyle w:val="NormalIndent"/>
        <w:ind w:firstLine="0"/>
        <w:rPr>
          <w:sz w:val="22"/>
          <w:szCs w:val="22"/>
          <w:lang w:val="en"/>
        </w:rPr>
      </w:pPr>
    </w:p>
    <w:p w14:paraId="0D6F9AB7" w14:textId="12D63096" w:rsidR="00306663" w:rsidRPr="0088203A" w:rsidRDefault="00C77207" w:rsidP="00590890">
      <w:pPr>
        <w:pStyle w:val="NormalIndent"/>
        <w:numPr>
          <w:ilvl w:val="0"/>
          <w:numId w:val="33"/>
        </w:numPr>
        <w:tabs>
          <w:tab w:val="left" w:pos="270"/>
        </w:tabs>
        <w:ind w:left="270" w:hanging="270"/>
        <w:jc w:val="both"/>
        <w:rPr>
          <w:b/>
          <w:bCs/>
          <w:sz w:val="22"/>
          <w:szCs w:val="22"/>
        </w:rPr>
      </w:pPr>
      <w:r w:rsidRPr="0088203A">
        <w:rPr>
          <w:b/>
          <w:sz w:val="22"/>
          <w:szCs w:val="22"/>
          <w:lang w:val="en"/>
        </w:rPr>
        <w:t>RESEARCH METHOD</w:t>
      </w:r>
    </w:p>
    <w:p w14:paraId="02AAC1AD" w14:textId="1EF13BC0" w:rsidR="00590890" w:rsidRPr="0088203A" w:rsidRDefault="00590890" w:rsidP="00590890">
      <w:pPr>
        <w:widowControl w:val="0"/>
        <w:adjustRightInd w:val="0"/>
        <w:spacing w:line="217" w:lineRule="exact"/>
        <w:ind w:firstLine="0"/>
        <w:rPr>
          <w:b/>
          <w:iCs/>
          <w:w w:val="102"/>
          <w:sz w:val="22"/>
          <w:szCs w:val="22"/>
          <w:lang w:val="id-ID"/>
        </w:rPr>
      </w:pPr>
      <w:r w:rsidRPr="0088203A">
        <w:rPr>
          <w:b/>
          <w:iCs/>
          <w:sz w:val="22"/>
          <w:szCs w:val="22"/>
        </w:rPr>
        <w:t>3.1.</w:t>
      </w:r>
      <w:r w:rsidRPr="0088203A">
        <w:rPr>
          <w:b/>
          <w:iCs/>
          <w:spacing w:val="7"/>
          <w:sz w:val="22"/>
          <w:szCs w:val="22"/>
        </w:rPr>
        <w:t xml:space="preserve"> </w:t>
      </w:r>
      <w:r w:rsidR="000303DE" w:rsidRPr="0088203A">
        <w:rPr>
          <w:b/>
          <w:iCs/>
          <w:spacing w:val="7"/>
          <w:sz w:val="22"/>
          <w:szCs w:val="22"/>
        </w:rPr>
        <w:t>Research Design, Sample, and Data Sources</w:t>
      </w:r>
    </w:p>
    <w:p w14:paraId="14117C61" w14:textId="0A42D5C6" w:rsidR="003049D7" w:rsidRPr="0088203A" w:rsidRDefault="003049D7" w:rsidP="003049D7">
      <w:pPr>
        <w:pStyle w:val="a0"/>
        <w:rPr>
          <w:sz w:val="22"/>
          <w:szCs w:val="22"/>
          <w:lang w:val="en-US"/>
        </w:rPr>
      </w:pPr>
      <w:r w:rsidRPr="0088203A">
        <w:rPr>
          <w:sz w:val="22"/>
          <w:szCs w:val="22"/>
          <w:lang w:val="en-US"/>
        </w:rPr>
        <w:t xml:space="preserve">This study adopts a quantitative research design using panel data analysis and Moderating Regression Analysis (MRA) method to examine the relationship between ESG, SRI, and firm value, with green innovation as a moderating variable. A panel data approach is appropriate because it enables the analysis of both cross-sectional and time-series variations, thereby providing more robust and efficient estimates compared to pure cross-sectional or time-series models. The use of panel data is consistent with prior ESG performance studies, such as Nguyen et al. (2022) and </w:t>
      </w:r>
      <w:proofErr w:type="spellStart"/>
      <w:r w:rsidRPr="0088203A">
        <w:rPr>
          <w:sz w:val="22"/>
          <w:szCs w:val="22"/>
          <w:lang w:val="en-US"/>
        </w:rPr>
        <w:t>Pulino</w:t>
      </w:r>
      <w:proofErr w:type="spellEnd"/>
      <w:r w:rsidRPr="0088203A">
        <w:rPr>
          <w:sz w:val="22"/>
          <w:szCs w:val="22"/>
          <w:lang w:val="en-US"/>
        </w:rPr>
        <w:t xml:space="preserve"> et al. (2022), which emphasize the importance of longitudinal analysis in capturing the </w:t>
      </w:r>
      <w:r w:rsidRPr="0088203A">
        <w:rPr>
          <w:sz w:val="22"/>
          <w:szCs w:val="22"/>
          <w:lang w:val="en-US"/>
        </w:rPr>
        <w:t>dynamic effects of ESG practices on firm outcomes. Moreover, given that ESG effects may evolve over time and respond to external shocks, panel data allows better control of unobserved heterogeneity across firms.</w:t>
      </w:r>
    </w:p>
    <w:p w14:paraId="5C4D40DE" w14:textId="7DDD4065" w:rsidR="00590890" w:rsidRPr="0088203A" w:rsidRDefault="003049D7" w:rsidP="003049D7">
      <w:pPr>
        <w:pStyle w:val="a0"/>
        <w:rPr>
          <w:sz w:val="22"/>
          <w:szCs w:val="22"/>
          <w:lang w:val="en-US"/>
        </w:rPr>
      </w:pPr>
      <w:r w:rsidRPr="0088203A">
        <w:rPr>
          <w:sz w:val="22"/>
          <w:szCs w:val="22"/>
          <w:lang w:val="en-US"/>
        </w:rPr>
        <w:t xml:space="preserve">The sample consists of 18 publicly listed companies from the manufacturing and mining sectors in Malaysia, observed over an eight-year period (2016–2023), resulting in a total of 144 firm-year observations. Malaysia provides a relevant setting due to its emerging market characteristics, increasing ESG regulatory attention, and exposure to sustainability pressures in resource-intensive industries. The focus on manufacturing and mining firms is particularly important, as these sectors are highly sensitive to environmental and social issues, making ESG practices more material to firm value. All data were obtained from Refinitiv Eikon, which </w:t>
      </w:r>
      <w:r w:rsidRPr="0088203A">
        <w:rPr>
          <w:sz w:val="22"/>
          <w:szCs w:val="22"/>
          <w:lang w:val="en-US"/>
        </w:rPr>
        <w:lastRenderedPageBreak/>
        <w:t>provides standardized ESG scores, financial indicators, and firm-level information. The use of Refinitiv ensures data reliability, comparability, and consistency, addressing concerns raised by Lee et al. (2023) regarding inconsistencies across ESG rating methodologies.</w:t>
      </w:r>
    </w:p>
    <w:p w14:paraId="1ABE6AA1" w14:textId="77777777" w:rsidR="00590890" w:rsidRPr="0088203A" w:rsidRDefault="00590890" w:rsidP="00590890">
      <w:pPr>
        <w:pStyle w:val="a0"/>
        <w:rPr>
          <w:spacing w:val="3"/>
          <w:sz w:val="22"/>
          <w:szCs w:val="22"/>
          <w:lang w:val="id-ID"/>
        </w:rPr>
      </w:pPr>
    </w:p>
    <w:p w14:paraId="160D5E22" w14:textId="77777777" w:rsidR="00590890" w:rsidRPr="0088203A" w:rsidRDefault="00590890" w:rsidP="00590890">
      <w:pPr>
        <w:widowControl w:val="0"/>
        <w:adjustRightInd w:val="0"/>
        <w:ind w:firstLine="0"/>
        <w:rPr>
          <w:b/>
          <w:iCs/>
          <w:w w:val="102"/>
          <w:sz w:val="22"/>
          <w:szCs w:val="22"/>
          <w:lang w:val="id-ID"/>
        </w:rPr>
      </w:pPr>
      <w:r w:rsidRPr="0088203A">
        <w:rPr>
          <w:b/>
          <w:iCs/>
          <w:sz w:val="22"/>
          <w:szCs w:val="22"/>
        </w:rPr>
        <w:t>3.2.</w:t>
      </w:r>
      <w:r w:rsidRPr="0088203A">
        <w:rPr>
          <w:b/>
          <w:iCs/>
          <w:spacing w:val="7"/>
          <w:sz w:val="22"/>
          <w:szCs w:val="22"/>
        </w:rPr>
        <w:t xml:space="preserve"> </w:t>
      </w:r>
      <w:r w:rsidRPr="0088203A">
        <w:rPr>
          <w:b/>
          <w:iCs/>
          <w:sz w:val="22"/>
          <w:szCs w:val="22"/>
        </w:rPr>
        <w:t>Operational Definitions of Variables</w:t>
      </w:r>
    </w:p>
    <w:p w14:paraId="3430E926" w14:textId="77777777" w:rsidR="003049D7" w:rsidRPr="0088203A" w:rsidRDefault="003049D7" w:rsidP="0088203A">
      <w:pPr>
        <w:pStyle w:val="a0"/>
        <w:spacing w:line="240" w:lineRule="auto"/>
        <w:rPr>
          <w:sz w:val="22"/>
          <w:szCs w:val="22"/>
          <w:lang w:val="en-US"/>
        </w:rPr>
      </w:pPr>
      <w:r w:rsidRPr="0088203A">
        <w:rPr>
          <w:sz w:val="22"/>
          <w:szCs w:val="22"/>
          <w:lang w:val="en-US"/>
        </w:rPr>
        <w:t>Firm value, as the dependent variable, is measured using Tobin’s Q, defined as the ratio of the market value of a firm to the book value of its assets. Tobin’s Q is widely adopted in ESG-related research because it captures forward-looking investor perceptions and growth expectations rather than purely accounting-based performance. This makes it particularly suitable for examining sustainability-related factors, which often yield long-term rather than immediate financial benefits. Prior studies, such as Nguyen et al. (2022), demonstrate that ESG engagement tends to have a stronger and more immediate impact on market-based measures like Tobin’s Q compared to accounting indicators, highlighting its relevance in assessing how investors value sustainability initiatives.</w:t>
      </w:r>
    </w:p>
    <w:p w14:paraId="5DA1E5DC" w14:textId="536D342A" w:rsidR="003049D7" w:rsidRPr="0088203A" w:rsidRDefault="003049D7" w:rsidP="0088203A">
      <w:pPr>
        <w:pStyle w:val="a0"/>
        <w:spacing w:line="240" w:lineRule="auto"/>
        <w:rPr>
          <w:sz w:val="22"/>
          <w:szCs w:val="22"/>
          <w:lang w:val="en-US"/>
        </w:rPr>
      </w:pPr>
      <w:r w:rsidRPr="0088203A">
        <w:rPr>
          <w:sz w:val="22"/>
          <w:szCs w:val="22"/>
          <w:lang w:val="en-US"/>
        </w:rPr>
        <w:t xml:space="preserve">The independent variables in this study consist of ESG performance and SRI. ESG performance is measured using the composite ESG score obtained from Refinitiv, which integrates environmental, social, and governance dimensions into a unified metric. SRI is proxied by product responsibility score, reflecting the extent to which firms meet the expectations of responsible investors. Furthermore, green innovation (GI) is introduced as a moderating variable, representing firms’ environmentally oriented innovation activities and their ability to translate ESG commitments into tangible practices, thereby strengthening the credibility of </w:t>
      </w:r>
      <w:r w:rsidRPr="0088203A">
        <w:rPr>
          <w:sz w:val="22"/>
          <w:szCs w:val="22"/>
          <w:lang w:val="en-US"/>
        </w:rPr>
        <w:t>sustainability signals. Finally, firm size (SIZE), measured as the natural logarithm of total assets, is included as a control variable, as larger firms generally possess greater resources, visibility, and stakeholder pressure, which may simultaneously influence ESG engagement and firm value. This study did not add leverage and profitability as control variables because the research model focused on the influence of sustainability variables on company value with company size as the main control. The size of the company was chosen because it represents the scale of operations, resource capacity, and differences in the characteristics of the relevant companies in the context of the research. However, the authors recognize that leverage and profitability are also fundamental factors that have the potential to influence Tobin's Q. Therefore, the non-inclusion of leverage and profitability as control variables is recognized as one of the limitations of the study, and further research is suggested to add DER, ROA, or ROE for the model to more comprehensively capture the influence of the company's financial characteristics.</w:t>
      </w:r>
    </w:p>
    <w:p w14:paraId="39934E92" w14:textId="77777777" w:rsidR="00D81C46" w:rsidRPr="0088203A" w:rsidRDefault="00D81C46" w:rsidP="0088203A">
      <w:pPr>
        <w:pStyle w:val="a0"/>
        <w:spacing w:line="240" w:lineRule="auto"/>
        <w:rPr>
          <w:sz w:val="22"/>
          <w:szCs w:val="22"/>
          <w:lang w:val="en-US"/>
        </w:rPr>
      </w:pPr>
      <w:r w:rsidRPr="0088203A">
        <w:rPr>
          <w:sz w:val="22"/>
          <w:szCs w:val="22"/>
          <w:lang w:val="en-US"/>
        </w:rPr>
        <w:t xml:space="preserve">The hypotheses in this study are tested using a panel data regression model that captures both cross-sectional and time-series variations across firms. Specifically, the model examines the direct effects of ESG performance and SRI on firm value, while also incorporating GI as both an independent and moderating variable. The estimated model is expressed as follows: </w:t>
      </w:r>
    </w:p>
    <w:p w14:paraId="2D0BC3E9" w14:textId="77777777" w:rsidR="00D81C46" w:rsidRPr="0088203A" w:rsidRDefault="00D81C46" w:rsidP="0088203A">
      <w:pPr>
        <w:pStyle w:val="a0"/>
        <w:spacing w:line="240" w:lineRule="auto"/>
        <w:rPr>
          <w:sz w:val="22"/>
          <w:szCs w:val="22"/>
          <w:lang w:val="en-US"/>
        </w:rPr>
      </w:pPr>
    </w:p>
    <w:p w14:paraId="6339FC7F" w14:textId="77777777" w:rsidR="00D81C46" w:rsidRPr="0088203A" w:rsidRDefault="00D81C46" w:rsidP="0088203A">
      <w:pPr>
        <w:pStyle w:val="a0"/>
        <w:spacing w:line="240" w:lineRule="auto"/>
        <w:rPr>
          <w:sz w:val="22"/>
          <w:szCs w:val="22"/>
          <w:lang w:val="en-US"/>
        </w:rPr>
      </w:pPr>
      <w:proofErr w:type="spellStart"/>
      <w:r w:rsidRPr="0088203A">
        <w:rPr>
          <w:sz w:val="22"/>
          <w:szCs w:val="22"/>
          <w:lang w:val="en-US"/>
        </w:rPr>
        <w:t>FVLit</w:t>
      </w:r>
      <w:proofErr w:type="spellEnd"/>
      <w:r w:rsidRPr="0088203A">
        <w:rPr>
          <w:sz w:val="22"/>
          <w:szCs w:val="22"/>
          <w:lang w:val="en-US"/>
        </w:rPr>
        <w:t xml:space="preserve">=β0+β1ESGit+β2SRIit+β3GINit+β4MESGit+β4MSRIit+β5SIZEit+εit  </w:t>
      </w:r>
    </w:p>
    <w:p w14:paraId="52870E6A" w14:textId="77777777" w:rsidR="00D81C46" w:rsidRPr="0088203A" w:rsidRDefault="00D81C46" w:rsidP="0088203A">
      <w:pPr>
        <w:pStyle w:val="a0"/>
        <w:spacing w:line="240" w:lineRule="auto"/>
        <w:rPr>
          <w:sz w:val="22"/>
          <w:szCs w:val="22"/>
          <w:lang w:val="en-US"/>
        </w:rPr>
      </w:pPr>
    </w:p>
    <w:p w14:paraId="42987C96" w14:textId="77777777" w:rsidR="00D81C46" w:rsidRPr="0088203A" w:rsidRDefault="00D81C46" w:rsidP="0088203A">
      <w:pPr>
        <w:pStyle w:val="a0"/>
        <w:spacing w:line="240" w:lineRule="auto"/>
        <w:rPr>
          <w:sz w:val="22"/>
          <w:szCs w:val="22"/>
          <w:lang w:val="en-US"/>
        </w:rPr>
      </w:pPr>
      <w:r w:rsidRPr="0088203A">
        <w:rPr>
          <w:sz w:val="22"/>
          <w:szCs w:val="22"/>
          <w:lang w:val="en-US"/>
        </w:rPr>
        <w:t xml:space="preserve">where </w:t>
      </w:r>
      <w:proofErr w:type="spellStart"/>
      <w:r w:rsidRPr="0088203A">
        <w:rPr>
          <w:sz w:val="22"/>
          <w:szCs w:val="22"/>
          <w:lang w:val="en-US"/>
        </w:rPr>
        <w:t>FVLit</w:t>
      </w:r>
      <w:proofErr w:type="spellEnd"/>
      <w:r w:rsidRPr="0088203A">
        <w:rPr>
          <w:sz w:val="22"/>
          <w:szCs w:val="22"/>
          <w:lang w:val="en-US"/>
        </w:rPr>
        <w:t xml:space="preserve"> represents Firm value/ Tobin’s Q of firm </w:t>
      </w:r>
      <w:proofErr w:type="spellStart"/>
      <w:r w:rsidRPr="0088203A">
        <w:rPr>
          <w:sz w:val="22"/>
          <w:szCs w:val="22"/>
          <w:lang w:val="en-US"/>
        </w:rPr>
        <w:t>i</w:t>
      </w:r>
      <w:proofErr w:type="spellEnd"/>
      <w:r w:rsidRPr="0088203A">
        <w:rPr>
          <w:sz w:val="22"/>
          <w:szCs w:val="22"/>
          <w:lang w:val="en-US"/>
        </w:rPr>
        <w:t xml:space="preserve"> at time t, </w:t>
      </w:r>
      <w:proofErr w:type="spellStart"/>
      <w:r w:rsidRPr="0088203A">
        <w:rPr>
          <w:sz w:val="22"/>
          <w:szCs w:val="22"/>
          <w:lang w:val="en-US"/>
        </w:rPr>
        <w:t>ESGit</w:t>
      </w:r>
      <w:proofErr w:type="spellEnd"/>
      <w:r w:rsidRPr="0088203A">
        <w:rPr>
          <w:sz w:val="22"/>
          <w:szCs w:val="22"/>
          <w:lang w:val="en-US"/>
        </w:rPr>
        <w:t xml:space="preserve"> denotes the ESG score, </w:t>
      </w:r>
      <w:proofErr w:type="spellStart"/>
      <w:r w:rsidRPr="0088203A">
        <w:rPr>
          <w:sz w:val="22"/>
          <w:szCs w:val="22"/>
          <w:lang w:val="en-US"/>
        </w:rPr>
        <w:t>SRIit</w:t>
      </w:r>
      <w:proofErr w:type="spellEnd"/>
      <w:r w:rsidRPr="0088203A">
        <w:rPr>
          <w:sz w:val="22"/>
          <w:szCs w:val="22"/>
          <w:lang w:val="en-US"/>
        </w:rPr>
        <w:t xml:space="preserve"> reflects socially responsible investment, </w:t>
      </w:r>
      <w:proofErr w:type="spellStart"/>
      <w:r w:rsidRPr="0088203A">
        <w:rPr>
          <w:sz w:val="22"/>
          <w:szCs w:val="22"/>
          <w:lang w:val="en-US"/>
        </w:rPr>
        <w:t>GINit</w:t>
      </w:r>
      <w:proofErr w:type="spellEnd"/>
      <w:r w:rsidRPr="0088203A">
        <w:rPr>
          <w:sz w:val="22"/>
          <w:szCs w:val="22"/>
          <w:lang w:val="en-US"/>
        </w:rPr>
        <w:t xml:space="preserve"> captures green innovation, and </w:t>
      </w:r>
      <w:proofErr w:type="spellStart"/>
      <w:r w:rsidRPr="0088203A">
        <w:rPr>
          <w:sz w:val="22"/>
          <w:szCs w:val="22"/>
          <w:lang w:val="en-US"/>
        </w:rPr>
        <w:t>SIZEit</w:t>
      </w:r>
      <w:proofErr w:type="spellEnd"/>
      <w:r w:rsidRPr="0088203A">
        <w:rPr>
          <w:sz w:val="22"/>
          <w:szCs w:val="22"/>
          <w:lang w:val="en-US"/>
        </w:rPr>
        <w:t xml:space="preserve"> represents firm size. The term </w:t>
      </w:r>
      <w:proofErr w:type="spellStart"/>
      <w:r w:rsidRPr="0088203A">
        <w:rPr>
          <w:sz w:val="22"/>
          <w:szCs w:val="22"/>
          <w:lang w:val="en-US"/>
        </w:rPr>
        <w:t>εit</w:t>
      </w:r>
      <w:proofErr w:type="spellEnd"/>
      <w:r w:rsidRPr="0088203A">
        <w:rPr>
          <w:sz w:val="22"/>
          <w:szCs w:val="22"/>
          <w:lang w:val="en-US"/>
        </w:rPr>
        <w:t xml:space="preserve"> is the </w:t>
      </w:r>
      <w:r w:rsidRPr="0088203A">
        <w:rPr>
          <w:sz w:val="22"/>
          <w:szCs w:val="22"/>
          <w:lang w:val="en-US"/>
        </w:rPr>
        <w:lastRenderedPageBreak/>
        <w:t xml:space="preserve">error term capturing unobserved influences. </w:t>
      </w:r>
    </w:p>
    <w:p w14:paraId="07E5774C" w14:textId="6EF06845" w:rsidR="00D81C46" w:rsidRPr="0088203A" w:rsidRDefault="00D81C46" w:rsidP="0088203A">
      <w:pPr>
        <w:pStyle w:val="a0"/>
        <w:spacing w:line="240" w:lineRule="auto"/>
        <w:ind w:firstLine="180"/>
        <w:rPr>
          <w:sz w:val="22"/>
          <w:szCs w:val="22"/>
          <w:lang w:val="en-US"/>
        </w:rPr>
      </w:pPr>
      <w:r w:rsidRPr="0088203A">
        <w:rPr>
          <w:sz w:val="22"/>
          <w:szCs w:val="22"/>
          <w:lang w:val="en-US"/>
        </w:rPr>
        <w:t>Importantly, the inclusion of the interaction term MESG = (</w:t>
      </w:r>
      <w:proofErr w:type="spellStart"/>
      <w:r w:rsidRPr="0088203A">
        <w:rPr>
          <w:sz w:val="22"/>
          <w:szCs w:val="22"/>
          <w:lang w:val="en-US"/>
        </w:rPr>
        <w:t>ESGit×GINit</w:t>
      </w:r>
      <w:proofErr w:type="spellEnd"/>
      <w:r w:rsidRPr="0088203A">
        <w:rPr>
          <w:sz w:val="22"/>
          <w:szCs w:val="22"/>
          <w:lang w:val="en-US"/>
        </w:rPr>
        <w:t>) and MSRI = (</w:t>
      </w:r>
      <w:proofErr w:type="spellStart"/>
      <w:r w:rsidRPr="0088203A">
        <w:rPr>
          <w:sz w:val="22"/>
          <w:szCs w:val="22"/>
          <w:lang w:val="en-US"/>
        </w:rPr>
        <w:t>SRIit×GINit</w:t>
      </w:r>
      <w:proofErr w:type="spellEnd"/>
      <w:r w:rsidRPr="0088203A">
        <w:rPr>
          <w:sz w:val="22"/>
          <w:szCs w:val="22"/>
          <w:lang w:val="en-US"/>
        </w:rPr>
        <w:t>) allows for testing the moderating role of green innovation in strengthening the relationship between ESG, SRI, and firm value. This specification is theoretically grounded in the argument that ESG disclosures alone may function as weak signals unless supported by substantive actions such as innovation. Prior empirical studies (e.g., Liu et al. (2025) and Lu et al. (2025)) suggest that firms engaging in green innovation are better able to translate sustainability commitments into tangible outcomes, thereby enhancing investor confidence and amplifying the positive impact of ESG on firm value.</w:t>
      </w:r>
    </w:p>
    <w:p w14:paraId="05AC0788" w14:textId="77777777" w:rsidR="00590890" w:rsidRPr="0088203A" w:rsidRDefault="00590890" w:rsidP="0088203A">
      <w:pPr>
        <w:pStyle w:val="a0"/>
        <w:spacing w:line="240" w:lineRule="auto"/>
        <w:rPr>
          <w:sz w:val="22"/>
          <w:szCs w:val="22"/>
        </w:rPr>
      </w:pPr>
    </w:p>
    <w:p w14:paraId="2CBF4D0B" w14:textId="474FE29D" w:rsidR="000303DE" w:rsidRPr="0088203A" w:rsidRDefault="00590890" w:rsidP="00590890">
      <w:pPr>
        <w:widowControl w:val="0"/>
        <w:adjustRightInd w:val="0"/>
        <w:spacing w:line="204" w:lineRule="exact"/>
        <w:ind w:firstLine="0"/>
        <w:rPr>
          <w:b/>
          <w:iCs/>
          <w:sz w:val="22"/>
          <w:szCs w:val="22"/>
        </w:rPr>
      </w:pPr>
      <w:r w:rsidRPr="0088203A">
        <w:rPr>
          <w:b/>
          <w:iCs/>
          <w:sz w:val="22"/>
          <w:szCs w:val="22"/>
        </w:rPr>
        <w:t>3.3.</w:t>
      </w:r>
      <w:r w:rsidRPr="0088203A">
        <w:rPr>
          <w:b/>
          <w:iCs/>
          <w:spacing w:val="7"/>
          <w:sz w:val="22"/>
          <w:szCs w:val="22"/>
        </w:rPr>
        <w:t xml:space="preserve"> </w:t>
      </w:r>
      <w:r w:rsidR="000303DE" w:rsidRPr="0088203A">
        <w:rPr>
          <w:b/>
          <w:iCs/>
          <w:sz w:val="22"/>
          <w:szCs w:val="22"/>
        </w:rPr>
        <w:t>Estimation Technique</w:t>
      </w:r>
    </w:p>
    <w:p w14:paraId="364652F3" w14:textId="77777777" w:rsidR="000303DE" w:rsidRPr="0088203A" w:rsidRDefault="000303DE" w:rsidP="0088203A">
      <w:pPr>
        <w:widowControl w:val="0"/>
        <w:adjustRightInd w:val="0"/>
        <w:ind w:firstLine="360"/>
        <w:rPr>
          <w:bCs/>
          <w:iCs/>
          <w:sz w:val="22"/>
          <w:szCs w:val="22"/>
        </w:rPr>
      </w:pPr>
      <w:r w:rsidRPr="0088203A">
        <w:rPr>
          <w:bCs/>
          <w:iCs/>
          <w:sz w:val="22"/>
          <w:szCs w:val="22"/>
        </w:rPr>
        <w:t xml:space="preserve">The empirical analysis is conducted using Stata, employing multiple panel data estimation techniques to ensure the robustness and reliability of the results. Specifically, the study utilizes Pooled Ordinary Least Squares (POLS), Random Effects Model (REM), Fixed Effects Model (FEM), and Generalized Least Squares (GLS), complemented by robust standard errors. The use of multiple estimators is intended to address different assumptions regarding unobserved heterogeneity across firms. </w:t>
      </w:r>
      <w:r w:rsidRPr="0088203A">
        <w:rPr>
          <w:bCs/>
          <w:iCs/>
          <w:sz w:val="22"/>
          <w:szCs w:val="22"/>
        </w:rPr>
        <w:t>The choice between FEM and REM is determined by the Hausman test, which ensures that the selected model provides consistent and efficient estimates given the structure of the panel data.</w:t>
      </w:r>
    </w:p>
    <w:p w14:paraId="75489D3F" w14:textId="0B1B6D8C" w:rsidR="000303DE" w:rsidRPr="0088203A" w:rsidRDefault="000303DE" w:rsidP="0088203A">
      <w:pPr>
        <w:widowControl w:val="0"/>
        <w:adjustRightInd w:val="0"/>
        <w:ind w:firstLine="360"/>
        <w:rPr>
          <w:bCs/>
          <w:iCs/>
          <w:sz w:val="22"/>
          <w:szCs w:val="22"/>
        </w:rPr>
      </w:pPr>
      <w:r w:rsidRPr="0088203A">
        <w:rPr>
          <w:bCs/>
          <w:iCs/>
          <w:sz w:val="22"/>
          <w:szCs w:val="22"/>
        </w:rPr>
        <w:t>Preliminary diagnostic tests reveal that the data do not follow a normal distribution and suffer from autocorrelation and heteroskedasticity issues, which are common in panel datasets. To address these problems, the study applies robust standard errors to correct for heteroskedasticity and employs GLS estimation to account for autocorrelation. These adjustments are essential to produce unbiased and efficient estimates, aligning with best practices in panel data analysis. Methodologically, this approach is further justified by prior literature. For example, Boccaletti et al. (2024) highlights how external shocks such as geopolitical conflicts influence market reactions, with ESG acting as a moderating factor. Similarly, Nguyen et al., 2022 and Pulino et al. (2022) demonstrate the suitability of panel regression in capturing ESG–performance relationships. The inclusion of moderation analysis is also consistent with recent findings (e.g., Liu et al. (2025) and Lu et al. (2025)), which emphasize that the impact of ESG is conditional on firm-level strategic factors such as green innovation.</w:t>
      </w:r>
    </w:p>
    <w:p w14:paraId="11C42645" w14:textId="77777777" w:rsidR="00387AD6" w:rsidRPr="0088203A" w:rsidRDefault="00387AD6" w:rsidP="0088203A">
      <w:pPr>
        <w:widowControl w:val="0"/>
        <w:adjustRightInd w:val="0"/>
        <w:ind w:firstLine="0"/>
        <w:rPr>
          <w:bCs/>
          <w:iCs/>
          <w:w w:val="102"/>
          <w:sz w:val="22"/>
          <w:szCs w:val="22"/>
        </w:rPr>
        <w:sectPr w:rsidR="00387AD6" w:rsidRPr="0088203A" w:rsidSect="00232D95">
          <w:type w:val="continuous"/>
          <w:pgSz w:w="11907" w:h="16840" w:code="9"/>
          <w:pgMar w:top="2268" w:right="1701" w:bottom="1701" w:left="2268" w:header="454" w:footer="567" w:gutter="0"/>
          <w:pgNumType w:start="171"/>
          <w:cols w:num="2" w:space="709"/>
          <w:docGrid w:linePitch="326"/>
        </w:sectPr>
      </w:pPr>
    </w:p>
    <w:p w14:paraId="18A00571" w14:textId="77777777" w:rsidR="00D81C46" w:rsidRPr="0088203A" w:rsidRDefault="00D81C46" w:rsidP="0088203A">
      <w:pPr>
        <w:widowControl w:val="0"/>
        <w:adjustRightInd w:val="0"/>
        <w:ind w:firstLine="0"/>
        <w:rPr>
          <w:bCs/>
          <w:iCs/>
          <w:w w:val="102"/>
          <w:sz w:val="22"/>
          <w:szCs w:val="22"/>
        </w:rPr>
      </w:pPr>
    </w:p>
    <w:p w14:paraId="34DB3793" w14:textId="77777777" w:rsidR="00590890" w:rsidRPr="0088203A" w:rsidRDefault="00590890" w:rsidP="0088203A">
      <w:pPr>
        <w:pStyle w:val="NormalIndent"/>
        <w:tabs>
          <w:tab w:val="left" w:pos="270"/>
        </w:tabs>
        <w:jc w:val="both"/>
        <w:rPr>
          <w:b/>
          <w:bCs/>
          <w:sz w:val="22"/>
          <w:szCs w:val="22"/>
        </w:rPr>
      </w:pPr>
    </w:p>
    <w:p w14:paraId="092B14F4" w14:textId="77777777" w:rsidR="000303DE" w:rsidRPr="0088203A" w:rsidRDefault="000303DE" w:rsidP="006B08C9">
      <w:pPr>
        <w:widowControl w:val="0"/>
        <w:numPr>
          <w:ilvl w:val="0"/>
          <w:numId w:val="33"/>
        </w:numPr>
        <w:adjustRightInd w:val="0"/>
        <w:spacing w:before="29"/>
        <w:ind w:left="270" w:right="-46" w:hanging="270"/>
        <w:rPr>
          <w:b/>
          <w:bCs/>
          <w:sz w:val="22"/>
          <w:szCs w:val="22"/>
        </w:rPr>
        <w:sectPr w:rsidR="000303DE" w:rsidRPr="0088203A" w:rsidSect="0088203A">
          <w:type w:val="continuous"/>
          <w:pgSz w:w="11907" w:h="16840" w:code="9"/>
          <w:pgMar w:top="2268" w:right="1701" w:bottom="1701" w:left="2268" w:header="454" w:footer="567" w:gutter="0"/>
          <w:pgNumType w:start="27"/>
          <w:cols w:num="2" w:space="709"/>
          <w:docGrid w:linePitch="326"/>
        </w:sectPr>
      </w:pPr>
    </w:p>
    <w:p w14:paraId="0CFCDCBB" w14:textId="6C0D0065" w:rsidR="006B08C9" w:rsidRPr="0088203A" w:rsidRDefault="00AD2900" w:rsidP="006B08C9">
      <w:pPr>
        <w:widowControl w:val="0"/>
        <w:numPr>
          <w:ilvl w:val="0"/>
          <w:numId w:val="33"/>
        </w:numPr>
        <w:adjustRightInd w:val="0"/>
        <w:spacing w:before="29"/>
        <w:ind w:left="270" w:right="-46" w:hanging="270"/>
        <w:rPr>
          <w:b/>
          <w:bCs/>
          <w:sz w:val="22"/>
          <w:szCs w:val="22"/>
        </w:rPr>
      </w:pPr>
      <w:r w:rsidRPr="0088203A">
        <w:rPr>
          <w:b/>
          <w:bCs/>
          <w:sz w:val="22"/>
          <w:szCs w:val="22"/>
        </w:rPr>
        <w:t>RESULT</w:t>
      </w:r>
      <w:r w:rsidR="00EE7FA6" w:rsidRPr="0088203A">
        <w:rPr>
          <w:b/>
          <w:bCs/>
          <w:sz w:val="22"/>
          <w:szCs w:val="22"/>
          <w:lang w:val="id-ID"/>
        </w:rPr>
        <w:t>S</w:t>
      </w:r>
      <w:r w:rsidRPr="0088203A">
        <w:rPr>
          <w:b/>
          <w:bCs/>
          <w:sz w:val="22"/>
          <w:szCs w:val="22"/>
        </w:rPr>
        <w:t xml:space="preserve"> AND DISCUSSION</w:t>
      </w:r>
    </w:p>
    <w:p w14:paraId="5DE7C29B" w14:textId="405B514B" w:rsidR="00387AD6" w:rsidRPr="0088203A" w:rsidRDefault="00387AD6" w:rsidP="00387AD6">
      <w:pPr>
        <w:pStyle w:val="ListParagraph"/>
        <w:numPr>
          <w:ilvl w:val="1"/>
          <w:numId w:val="37"/>
        </w:numPr>
        <w:tabs>
          <w:tab w:val="left" w:pos="540"/>
        </w:tabs>
        <w:spacing w:before="0" w:line="276" w:lineRule="auto"/>
        <w:rPr>
          <w:rFonts w:ascii="Times New Roman" w:hAnsi="Times New Roman"/>
          <w:b/>
          <w:bCs/>
        </w:rPr>
      </w:pPr>
      <w:r w:rsidRPr="0088203A">
        <w:rPr>
          <w:rFonts w:ascii="Times New Roman" w:hAnsi="Times New Roman"/>
          <w:b/>
          <w:bCs/>
        </w:rPr>
        <w:t>Results</w:t>
      </w:r>
    </w:p>
    <w:p w14:paraId="205E5FB6" w14:textId="0EC5077C" w:rsidR="000303DE" w:rsidRPr="0088203A" w:rsidRDefault="000303DE" w:rsidP="00590890">
      <w:pPr>
        <w:pStyle w:val="a0"/>
        <w:rPr>
          <w:sz w:val="22"/>
          <w:szCs w:val="22"/>
          <w:lang w:val="en-US"/>
        </w:rPr>
      </w:pPr>
      <w:r w:rsidRPr="0088203A">
        <w:rPr>
          <w:sz w:val="22"/>
          <w:szCs w:val="22"/>
          <w:lang w:val="en-US"/>
        </w:rPr>
        <w:t>Table 1 shows all variables in this study, including the control variables firm size, as well as the model's mean, standard error of the mean, median, standard deviation, minimum, and maximum. There are 144 data points in all in this analysis, including information from 2016 and 2023.</w:t>
      </w:r>
    </w:p>
    <w:p w14:paraId="21EA0359" w14:textId="77777777" w:rsidR="000303DE" w:rsidRPr="0088203A" w:rsidRDefault="000303DE" w:rsidP="000303DE">
      <w:pPr>
        <w:pStyle w:val="Caption"/>
        <w:keepNext/>
        <w:spacing w:before="0" w:after="0"/>
        <w:rPr>
          <w:i/>
          <w:iCs/>
          <w:sz w:val="20"/>
          <w:szCs w:val="20"/>
        </w:rPr>
      </w:pPr>
      <w:r w:rsidRPr="0088203A">
        <w:rPr>
          <w:i/>
          <w:iCs/>
          <w:sz w:val="20"/>
          <w:szCs w:val="20"/>
        </w:rPr>
        <w:t xml:space="preserve">Table 1 </w:t>
      </w:r>
    </w:p>
    <w:p w14:paraId="298F211C" w14:textId="77777777" w:rsidR="000303DE" w:rsidRPr="0088203A" w:rsidRDefault="000303DE" w:rsidP="000303DE">
      <w:pPr>
        <w:pStyle w:val="Caption"/>
        <w:keepNext/>
        <w:spacing w:before="0"/>
        <w:rPr>
          <w:i/>
          <w:iCs/>
          <w:sz w:val="20"/>
          <w:szCs w:val="20"/>
        </w:rPr>
      </w:pPr>
      <w:r w:rsidRPr="0088203A">
        <w:rPr>
          <w:i/>
          <w:iCs/>
          <w:sz w:val="20"/>
          <w:szCs w:val="20"/>
        </w:rPr>
        <w:t>Statistic Descriptive</w:t>
      </w:r>
    </w:p>
    <w:p w14:paraId="3F932028" w14:textId="77777777" w:rsidR="0088203A" w:rsidRDefault="0088203A" w:rsidP="00387AD6">
      <w:pPr>
        <w:spacing w:before="0"/>
        <w:jc w:val="center"/>
        <w:rPr>
          <w:b/>
          <w:sz w:val="20"/>
        </w:rPr>
        <w:sectPr w:rsidR="0088203A" w:rsidSect="0088203A">
          <w:type w:val="continuous"/>
          <w:pgSz w:w="11907" w:h="16840" w:code="9"/>
          <w:pgMar w:top="2268" w:right="1701" w:bottom="1701" w:left="2268" w:header="454" w:footer="567" w:gutter="0"/>
          <w:pgNumType w:start="27"/>
          <w:cols w:space="709"/>
          <w:docGrid w:linePitch="326"/>
        </w:sectPr>
      </w:pPr>
    </w:p>
    <w:tbl>
      <w:tblPr>
        <w:tblW w:w="0" w:type="auto"/>
        <w:jc w:val="center"/>
        <w:tblLook w:val="04A0" w:firstRow="1" w:lastRow="0" w:firstColumn="1" w:lastColumn="0" w:noHBand="0" w:noVBand="1"/>
      </w:tblPr>
      <w:tblGrid>
        <w:gridCol w:w="1425"/>
        <w:gridCol w:w="890"/>
        <w:gridCol w:w="1338"/>
        <w:gridCol w:w="1426"/>
        <w:gridCol w:w="1250"/>
        <w:gridCol w:w="1250"/>
      </w:tblGrid>
      <w:tr w:rsidR="000303DE" w:rsidRPr="0088203A" w14:paraId="2F2D4A73" w14:textId="77777777" w:rsidTr="00281604">
        <w:trPr>
          <w:trHeight w:val="279"/>
          <w:tblHeader/>
          <w:jc w:val="center"/>
        </w:trPr>
        <w:tc>
          <w:tcPr>
            <w:tcW w:w="1425" w:type="dxa"/>
            <w:tcBorders>
              <w:top w:val="single" w:sz="4" w:space="0" w:color="auto"/>
              <w:bottom w:val="single" w:sz="4" w:space="0" w:color="auto"/>
            </w:tcBorders>
            <w:shd w:val="clear" w:color="auto" w:fill="D9EAF7"/>
            <w:vAlign w:val="center"/>
          </w:tcPr>
          <w:p w14:paraId="72F5F65A" w14:textId="77777777" w:rsidR="000303DE" w:rsidRPr="0088203A" w:rsidRDefault="000303DE" w:rsidP="00387AD6">
            <w:pPr>
              <w:spacing w:before="0"/>
              <w:jc w:val="center"/>
              <w:rPr>
                <w:sz w:val="20"/>
              </w:rPr>
            </w:pPr>
            <w:r w:rsidRPr="0088203A">
              <w:rPr>
                <w:b/>
                <w:sz w:val="20"/>
              </w:rPr>
              <w:t>Variable</w:t>
            </w:r>
          </w:p>
        </w:tc>
        <w:tc>
          <w:tcPr>
            <w:tcW w:w="890" w:type="dxa"/>
            <w:tcBorders>
              <w:top w:val="single" w:sz="4" w:space="0" w:color="auto"/>
              <w:bottom w:val="single" w:sz="4" w:space="0" w:color="auto"/>
            </w:tcBorders>
            <w:shd w:val="clear" w:color="auto" w:fill="D9EAF7"/>
            <w:vAlign w:val="center"/>
          </w:tcPr>
          <w:p w14:paraId="60F8C9F6" w14:textId="77777777" w:rsidR="000303DE" w:rsidRPr="0088203A" w:rsidRDefault="000303DE" w:rsidP="00387AD6">
            <w:pPr>
              <w:spacing w:before="0"/>
              <w:jc w:val="center"/>
              <w:rPr>
                <w:sz w:val="20"/>
              </w:rPr>
            </w:pPr>
            <w:r w:rsidRPr="0088203A">
              <w:rPr>
                <w:b/>
                <w:sz w:val="20"/>
              </w:rPr>
              <w:t>Obs</w:t>
            </w:r>
          </w:p>
        </w:tc>
        <w:tc>
          <w:tcPr>
            <w:tcW w:w="1338" w:type="dxa"/>
            <w:tcBorders>
              <w:top w:val="single" w:sz="4" w:space="0" w:color="auto"/>
              <w:bottom w:val="single" w:sz="4" w:space="0" w:color="auto"/>
            </w:tcBorders>
            <w:shd w:val="clear" w:color="auto" w:fill="D9EAF7"/>
            <w:vAlign w:val="center"/>
          </w:tcPr>
          <w:p w14:paraId="4368D887" w14:textId="77777777" w:rsidR="000303DE" w:rsidRPr="0088203A" w:rsidRDefault="000303DE" w:rsidP="00387AD6">
            <w:pPr>
              <w:spacing w:before="0"/>
              <w:jc w:val="center"/>
              <w:rPr>
                <w:sz w:val="20"/>
              </w:rPr>
            </w:pPr>
            <w:r w:rsidRPr="0088203A">
              <w:rPr>
                <w:b/>
                <w:sz w:val="20"/>
              </w:rPr>
              <w:t>Mean</w:t>
            </w:r>
          </w:p>
        </w:tc>
        <w:tc>
          <w:tcPr>
            <w:tcW w:w="1426" w:type="dxa"/>
            <w:tcBorders>
              <w:top w:val="single" w:sz="4" w:space="0" w:color="auto"/>
              <w:bottom w:val="single" w:sz="4" w:space="0" w:color="auto"/>
            </w:tcBorders>
            <w:shd w:val="clear" w:color="auto" w:fill="D9EAF7"/>
            <w:vAlign w:val="center"/>
          </w:tcPr>
          <w:p w14:paraId="28479E0B" w14:textId="77777777" w:rsidR="000303DE" w:rsidRPr="0088203A" w:rsidRDefault="000303DE" w:rsidP="00387AD6">
            <w:pPr>
              <w:spacing w:before="0"/>
              <w:jc w:val="center"/>
              <w:rPr>
                <w:sz w:val="20"/>
              </w:rPr>
            </w:pPr>
            <w:r w:rsidRPr="0088203A">
              <w:rPr>
                <w:b/>
                <w:sz w:val="20"/>
              </w:rPr>
              <w:t>Std. Dev.</w:t>
            </w:r>
          </w:p>
        </w:tc>
        <w:tc>
          <w:tcPr>
            <w:tcW w:w="1160" w:type="dxa"/>
            <w:tcBorders>
              <w:top w:val="single" w:sz="4" w:space="0" w:color="auto"/>
              <w:bottom w:val="single" w:sz="4" w:space="0" w:color="auto"/>
            </w:tcBorders>
            <w:shd w:val="clear" w:color="auto" w:fill="D9EAF7"/>
            <w:vAlign w:val="center"/>
          </w:tcPr>
          <w:p w14:paraId="5E86CE28" w14:textId="77777777" w:rsidR="000303DE" w:rsidRPr="0088203A" w:rsidRDefault="000303DE" w:rsidP="00387AD6">
            <w:pPr>
              <w:spacing w:before="0"/>
              <w:jc w:val="center"/>
              <w:rPr>
                <w:sz w:val="20"/>
              </w:rPr>
            </w:pPr>
            <w:r w:rsidRPr="0088203A">
              <w:rPr>
                <w:b/>
                <w:sz w:val="20"/>
              </w:rPr>
              <w:t>Min</w:t>
            </w:r>
          </w:p>
        </w:tc>
        <w:tc>
          <w:tcPr>
            <w:tcW w:w="1167" w:type="dxa"/>
            <w:tcBorders>
              <w:top w:val="single" w:sz="4" w:space="0" w:color="auto"/>
              <w:bottom w:val="single" w:sz="4" w:space="0" w:color="auto"/>
            </w:tcBorders>
            <w:shd w:val="clear" w:color="auto" w:fill="D9EAF7"/>
            <w:vAlign w:val="center"/>
          </w:tcPr>
          <w:p w14:paraId="749FBD47" w14:textId="77777777" w:rsidR="000303DE" w:rsidRPr="0088203A" w:rsidRDefault="000303DE" w:rsidP="00387AD6">
            <w:pPr>
              <w:spacing w:before="0"/>
              <w:jc w:val="center"/>
              <w:rPr>
                <w:sz w:val="20"/>
              </w:rPr>
            </w:pPr>
            <w:r w:rsidRPr="0088203A">
              <w:rPr>
                <w:b/>
                <w:sz w:val="20"/>
              </w:rPr>
              <w:t>Max</w:t>
            </w:r>
          </w:p>
        </w:tc>
      </w:tr>
      <w:tr w:rsidR="000303DE" w:rsidRPr="0088203A" w14:paraId="0CE9F819" w14:textId="77777777" w:rsidTr="00281604">
        <w:trPr>
          <w:trHeight w:val="279"/>
          <w:jc w:val="center"/>
        </w:trPr>
        <w:tc>
          <w:tcPr>
            <w:tcW w:w="1425" w:type="dxa"/>
            <w:vAlign w:val="center"/>
          </w:tcPr>
          <w:p w14:paraId="778DE8C7" w14:textId="77777777" w:rsidR="000303DE" w:rsidRPr="0088203A" w:rsidRDefault="000303DE" w:rsidP="00387AD6">
            <w:pPr>
              <w:spacing w:before="0"/>
              <w:rPr>
                <w:sz w:val="20"/>
              </w:rPr>
            </w:pPr>
            <w:r w:rsidRPr="0088203A">
              <w:rPr>
                <w:sz w:val="20"/>
              </w:rPr>
              <w:t>ESG</w:t>
            </w:r>
          </w:p>
        </w:tc>
        <w:tc>
          <w:tcPr>
            <w:tcW w:w="890" w:type="dxa"/>
            <w:vAlign w:val="center"/>
          </w:tcPr>
          <w:p w14:paraId="1A2813AE" w14:textId="77777777" w:rsidR="000303DE" w:rsidRPr="0088203A" w:rsidRDefault="000303DE" w:rsidP="00387AD6">
            <w:pPr>
              <w:spacing w:before="0"/>
              <w:jc w:val="center"/>
              <w:rPr>
                <w:sz w:val="20"/>
              </w:rPr>
            </w:pPr>
            <w:r w:rsidRPr="0088203A">
              <w:rPr>
                <w:sz w:val="20"/>
              </w:rPr>
              <w:t>144</w:t>
            </w:r>
          </w:p>
        </w:tc>
        <w:tc>
          <w:tcPr>
            <w:tcW w:w="1338" w:type="dxa"/>
            <w:vAlign w:val="center"/>
          </w:tcPr>
          <w:p w14:paraId="0E87B795" w14:textId="77777777" w:rsidR="000303DE" w:rsidRPr="0088203A" w:rsidRDefault="000303DE" w:rsidP="00387AD6">
            <w:pPr>
              <w:spacing w:before="0"/>
              <w:jc w:val="center"/>
              <w:rPr>
                <w:sz w:val="20"/>
              </w:rPr>
            </w:pPr>
            <w:r w:rsidRPr="0088203A">
              <w:rPr>
                <w:sz w:val="20"/>
              </w:rPr>
              <w:t>56.29118</w:t>
            </w:r>
          </w:p>
        </w:tc>
        <w:tc>
          <w:tcPr>
            <w:tcW w:w="1426" w:type="dxa"/>
            <w:vAlign w:val="center"/>
          </w:tcPr>
          <w:p w14:paraId="079A798B" w14:textId="77777777" w:rsidR="000303DE" w:rsidRPr="0088203A" w:rsidRDefault="000303DE" w:rsidP="00387AD6">
            <w:pPr>
              <w:spacing w:before="0"/>
              <w:jc w:val="center"/>
              <w:rPr>
                <w:sz w:val="20"/>
              </w:rPr>
            </w:pPr>
            <w:r w:rsidRPr="0088203A">
              <w:rPr>
                <w:sz w:val="20"/>
              </w:rPr>
              <w:t>16.83778</w:t>
            </w:r>
          </w:p>
        </w:tc>
        <w:tc>
          <w:tcPr>
            <w:tcW w:w="1160" w:type="dxa"/>
            <w:vAlign w:val="center"/>
          </w:tcPr>
          <w:p w14:paraId="4C3575A1" w14:textId="77777777" w:rsidR="000303DE" w:rsidRPr="0088203A" w:rsidRDefault="000303DE" w:rsidP="00387AD6">
            <w:pPr>
              <w:spacing w:before="0"/>
              <w:jc w:val="center"/>
              <w:rPr>
                <w:sz w:val="20"/>
              </w:rPr>
            </w:pPr>
            <w:r w:rsidRPr="0088203A">
              <w:rPr>
                <w:sz w:val="20"/>
              </w:rPr>
              <w:t>11.85</w:t>
            </w:r>
          </w:p>
        </w:tc>
        <w:tc>
          <w:tcPr>
            <w:tcW w:w="1167" w:type="dxa"/>
            <w:vAlign w:val="center"/>
          </w:tcPr>
          <w:p w14:paraId="39EE7ACE" w14:textId="77777777" w:rsidR="000303DE" w:rsidRPr="0088203A" w:rsidRDefault="000303DE" w:rsidP="00387AD6">
            <w:pPr>
              <w:spacing w:before="0"/>
              <w:jc w:val="center"/>
              <w:rPr>
                <w:sz w:val="20"/>
              </w:rPr>
            </w:pPr>
            <w:r w:rsidRPr="0088203A">
              <w:rPr>
                <w:sz w:val="20"/>
              </w:rPr>
              <w:t>91.58</w:t>
            </w:r>
          </w:p>
        </w:tc>
      </w:tr>
      <w:tr w:rsidR="000303DE" w:rsidRPr="0088203A" w14:paraId="76BEEBAA" w14:textId="77777777" w:rsidTr="00281604">
        <w:trPr>
          <w:trHeight w:val="279"/>
          <w:jc w:val="center"/>
        </w:trPr>
        <w:tc>
          <w:tcPr>
            <w:tcW w:w="1425" w:type="dxa"/>
            <w:vAlign w:val="center"/>
          </w:tcPr>
          <w:p w14:paraId="06DF8099" w14:textId="77777777" w:rsidR="000303DE" w:rsidRPr="0088203A" w:rsidRDefault="000303DE" w:rsidP="00387AD6">
            <w:pPr>
              <w:spacing w:before="0"/>
              <w:rPr>
                <w:sz w:val="20"/>
              </w:rPr>
            </w:pPr>
            <w:r w:rsidRPr="0088203A">
              <w:rPr>
                <w:sz w:val="20"/>
              </w:rPr>
              <w:t>SRI</w:t>
            </w:r>
          </w:p>
        </w:tc>
        <w:tc>
          <w:tcPr>
            <w:tcW w:w="890" w:type="dxa"/>
            <w:vAlign w:val="center"/>
          </w:tcPr>
          <w:p w14:paraId="475512D2" w14:textId="77777777" w:rsidR="000303DE" w:rsidRPr="0088203A" w:rsidRDefault="000303DE" w:rsidP="00387AD6">
            <w:pPr>
              <w:spacing w:before="0"/>
              <w:jc w:val="center"/>
              <w:rPr>
                <w:sz w:val="20"/>
              </w:rPr>
            </w:pPr>
            <w:r w:rsidRPr="0088203A">
              <w:rPr>
                <w:sz w:val="20"/>
              </w:rPr>
              <w:t>144</w:t>
            </w:r>
          </w:p>
        </w:tc>
        <w:tc>
          <w:tcPr>
            <w:tcW w:w="1338" w:type="dxa"/>
            <w:vAlign w:val="center"/>
          </w:tcPr>
          <w:p w14:paraId="25BFE6B2" w14:textId="77777777" w:rsidR="000303DE" w:rsidRPr="0088203A" w:rsidRDefault="000303DE" w:rsidP="00387AD6">
            <w:pPr>
              <w:spacing w:before="0"/>
              <w:jc w:val="center"/>
              <w:rPr>
                <w:sz w:val="20"/>
              </w:rPr>
            </w:pPr>
            <w:r w:rsidRPr="0088203A">
              <w:rPr>
                <w:sz w:val="20"/>
              </w:rPr>
              <w:t>62.48868</w:t>
            </w:r>
          </w:p>
        </w:tc>
        <w:tc>
          <w:tcPr>
            <w:tcW w:w="1426" w:type="dxa"/>
            <w:vAlign w:val="center"/>
          </w:tcPr>
          <w:p w14:paraId="4E01FD6D" w14:textId="77777777" w:rsidR="000303DE" w:rsidRPr="0088203A" w:rsidRDefault="000303DE" w:rsidP="00387AD6">
            <w:pPr>
              <w:spacing w:before="0"/>
              <w:jc w:val="center"/>
              <w:rPr>
                <w:sz w:val="20"/>
              </w:rPr>
            </w:pPr>
            <w:r w:rsidRPr="0088203A">
              <w:rPr>
                <w:sz w:val="20"/>
              </w:rPr>
              <w:t>24.34921</w:t>
            </w:r>
          </w:p>
        </w:tc>
        <w:tc>
          <w:tcPr>
            <w:tcW w:w="1160" w:type="dxa"/>
            <w:vAlign w:val="center"/>
          </w:tcPr>
          <w:p w14:paraId="3D64125E" w14:textId="77777777" w:rsidR="000303DE" w:rsidRPr="0088203A" w:rsidRDefault="000303DE" w:rsidP="00387AD6">
            <w:pPr>
              <w:spacing w:before="0"/>
              <w:jc w:val="center"/>
              <w:rPr>
                <w:sz w:val="20"/>
              </w:rPr>
            </w:pPr>
            <w:r w:rsidRPr="0088203A">
              <w:rPr>
                <w:sz w:val="20"/>
              </w:rPr>
              <w:t>9.32</w:t>
            </w:r>
          </w:p>
        </w:tc>
        <w:tc>
          <w:tcPr>
            <w:tcW w:w="1167" w:type="dxa"/>
            <w:vAlign w:val="center"/>
          </w:tcPr>
          <w:p w14:paraId="43217CD6" w14:textId="77777777" w:rsidR="000303DE" w:rsidRPr="0088203A" w:rsidRDefault="000303DE" w:rsidP="00387AD6">
            <w:pPr>
              <w:spacing w:before="0"/>
              <w:jc w:val="center"/>
              <w:rPr>
                <w:sz w:val="20"/>
              </w:rPr>
            </w:pPr>
            <w:r w:rsidRPr="0088203A">
              <w:rPr>
                <w:sz w:val="20"/>
              </w:rPr>
              <w:t>99.52</w:t>
            </w:r>
          </w:p>
        </w:tc>
      </w:tr>
      <w:tr w:rsidR="000303DE" w:rsidRPr="0088203A" w14:paraId="572B53C3" w14:textId="77777777" w:rsidTr="00281604">
        <w:trPr>
          <w:trHeight w:val="279"/>
          <w:jc w:val="center"/>
        </w:trPr>
        <w:tc>
          <w:tcPr>
            <w:tcW w:w="1425" w:type="dxa"/>
            <w:vAlign w:val="center"/>
          </w:tcPr>
          <w:p w14:paraId="1563D55E" w14:textId="77777777" w:rsidR="000303DE" w:rsidRPr="0088203A" w:rsidRDefault="000303DE" w:rsidP="00387AD6">
            <w:pPr>
              <w:spacing w:before="0"/>
              <w:rPr>
                <w:sz w:val="20"/>
              </w:rPr>
            </w:pPr>
            <w:r w:rsidRPr="0088203A">
              <w:rPr>
                <w:sz w:val="20"/>
              </w:rPr>
              <w:lastRenderedPageBreak/>
              <w:t>GIN</w:t>
            </w:r>
          </w:p>
        </w:tc>
        <w:tc>
          <w:tcPr>
            <w:tcW w:w="890" w:type="dxa"/>
            <w:vAlign w:val="center"/>
          </w:tcPr>
          <w:p w14:paraId="31FD2D53" w14:textId="77777777" w:rsidR="000303DE" w:rsidRPr="0088203A" w:rsidRDefault="000303DE" w:rsidP="00387AD6">
            <w:pPr>
              <w:spacing w:before="0"/>
              <w:jc w:val="center"/>
              <w:rPr>
                <w:sz w:val="20"/>
              </w:rPr>
            </w:pPr>
            <w:r w:rsidRPr="0088203A">
              <w:rPr>
                <w:sz w:val="20"/>
              </w:rPr>
              <w:t>144</w:t>
            </w:r>
          </w:p>
        </w:tc>
        <w:tc>
          <w:tcPr>
            <w:tcW w:w="1338" w:type="dxa"/>
            <w:vAlign w:val="center"/>
          </w:tcPr>
          <w:p w14:paraId="58C08924" w14:textId="77777777" w:rsidR="000303DE" w:rsidRPr="0088203A" w:rsidRDefault="000303DE" w:rsidP="00387AD6">
            <w:pPr>
              <w:spacing w:before="0"/>
              <w:jc w:val="center"/>
              <w:rPr>
                <w:sz w:val="20"/>
              </w:rPr>
            </w:pPr>
            <w:r w:rsidRPr="0088203A">
              <w:rPr>
                <w:sz w:val="20"/>
              </w:rPr>
              <w:t>58.92292</w:t>
            </w:r>
          </w:p>
        </w:tc>
        <w:tc>
          <w:tcPr>
            <w:tcW w:w="1426" w:type="dxa"/>
            <w:vAlign w:val="center"/>
          </w:tcPr>
          <w:p w14:paraId="6D5A088F" w14:textId="77777777" w:rsidR="000303DE" w:rsidRPr="0088203A" w:rsidRDefault="000303DE" w:rsidP="00387AD6">
            <w:pPr>
              <w:spacing w:before="0"/>
              <w:jc w:val="center"/>
              <w:rPr>
                <w:sz w:val="20"/>
              </w:rPr>
            </w:pPr>
            <w:r w:rsidRPr="0088203A">
              <w:rPr>
                <w:sz w:val="20"/>
              </w:rPr>
              <w:t>25.90868</w:t>
            </w:r>
          </w:p>
        </w:tc>
        <w:tc>
          <w:tcPr>
            <w:tcW w:w="1160" w:type="dxa"/>
            <w:vAlign w:val="center"/>
          </w:tcPr>
          <w:p w14:paraId="32075807" w14:textId="77777777" w:rsidR="000303DE" w:rsidRPr="0088203A" w:rsidRDefault="000303DE" w:rsidP="00387AD6">
            <w:pPr>
              <w:spacing w:before="0"/>
              <w:jc w:val="center"/>
              <w:rPr>
                <w:sz w:val="20"/>
              </w:rPr>
            </w:pPr>
            <w:r w:rsidRPr="0088203A">
              <w:rPr>
                <w:sz w:val="20"/>
              </w:rPr>
              <w:t>9.88</w:t>
            </w:r>
          </w:p>
        </w:tc>
        <w:tc>
          <w:tcPr>
            <w:tcW w:w="1167" w:type="dxa"/>
            <w:vAlign w:val="center"/>
          </w:tcPr>
          <w:p w14:paraId="5EC8C49B" w14:textId="77777777" w:rsidR="000303DE" w:rsidRPr="0088203A" w:rsidRDefault="000303DE" w:rsidP="00387AD6">
            <w:pPr>
              <w:spacing w:before="0"/>
              <w:jc w:val="center"/>
              <w:rPr>
                <w:sz w:val="20"/>
              </w:rPr>
            </w:pPr>
            <w:r w:rsidRPr="0088203A">
              <w:rPr>
                <w:sz w:val="20"/>
              </w:rPr>
              <w:t>99.84</w:t>
            </w:r>
          </w:p>
        </w:tc>
      </w:tr>
      <w:tr w:rsidR="000303DE" w:rsidRPr="0088203A" w14:paraId="773E859A" w14:textId="77777777" w:rsidTr="00281604">
        <w:trPr>
          <w:trHeight w:val="279"/>
          <w:jc w:val="center"/>
        </w:trPr>
        <w:tc>
          <w:tcPr>
            <w:tcW w:w="1425" w:type="dxa"/>
            <w:vAlign w:val="center"/>
          </w:tcPr>
          <w:p w14:paraId="3439376F" w14:textId="77777777" w:rsidR="000303DE" w:rsidRPr="0088203A" w:rsidRDefault="000303DE" w:rsidP="00387AD6">
            <w:pPr>
              <w:spacing w:before="0"/>
              <w:rPr>
                <w:sz w:val="20"/>
              </w:rPr>
            </w:pPr>
            <w:r w:rsidRPr="0088203A">
              <w:rPr>
                <w:sz w:val="20"/>
              </w:rPr>
              <w:t>MESG</w:t>
            </w:r>
          </w:p>
        </w:tc>
        <w:tc>
          <w:tcPr>
            <w:tcW w:w="890" w:type="dxa"/>
            <w:vAlign w:val="center"/>
          </w:tcPr>
          <w:p w14:paraId="12105DC4" w14:textId="77777777" w:rsidR="000303DE" w:rsidRPr="0088203A" w:rsidRDefault="000303DE" w:rsidP="00387AD6">
            <w:pPr>
              <w:spacing w:before="0"/>
              <w:jc w:val="center"/>
              <w:rPr>
                <w:sz w:val="20"/>
              </w:rPr>
            </w:pPr>
            <w:r w:rsidRPr="0088203A">
              <w:rPr>
                <w:sz w:val="20"/>
              </w:rPr>
              <w:t>144</w:t>
            </w:r>
          </w:p>
        </w:tc>
        <w:tc>
          <w:tcPr>
            <w:tcW w:w="1338" w:type="dxa"/>
            <w:vAlign w:val="center"/>
          </w:tcPr>
          <w:p w14:paraId="18E9E3C6" w14:textId="77777777" w:rsidR="000303DE" w:rsidRPr="0088203A" w:rsidRDefault="000303DE" w:rsidP="00387AD6">
            <w:pPr>
              <w:spacing w:before="0"/>
              <w:jc w:val="center"/>
              <w:rPr>
                <w:sz w:val="20"/>
              </w:rPr>
            </w:pPr>
            <w:r w:rsidRPr="0088203A">
              <w:rPr>
                <w:sz w:val="20"/>
              </w:rPr>
              <w:t>3460.205</w:t>
            </w:r>
          </w:p>
        </w:tc>
        <w:tc>
          <w:tcPr>
            <w:tcW w:w="1426" w:type="dxa"/>
            <w:vAlign w:val="center"/>
          </w:tcPr>
          <w:p w14:paraId="5FD3E5EA" w14:textId="77777777" w:rsidR="000303DE" w:rsidRPr="0088203A" w:rsidRDefault="000303DE" w:rsidP="00387AD6">
            <w:pPr>
              <w:spacing w:before="0"/>
              <w:jc w:val="center"/>
              <w:rPr>
                <w:sz w:val="20"/>
              </w:rPr>
            </w:pPr>
            <w:r w:rsidRPr="0088203A">
              <w:rPr>
                <w:sz w:val="20"/>
              </w:rPr>
              <w:t>2212.489</w:t>
            </w:r>
          </w:p>
        </w:tc>
        <w:tc>
          <w:tcPr>
            <w:tcW w:w="1160" w:type="dxa"/>
            <w:vAlign w:val="center"/>
          </w:tcPr>
          <w:p w14:paraId="5F282AAE" w14:textId="77777777" w:rsidR="000303DE" w:rsidRPr="0088203A" w:rsidRDefault="000303DE" w:rsidP="00387AD6">
            <w:pPr>
              <w:spacing w:before="0"/>
              <w:jc w:val="center"/>
              <w:rPr>
                <w:sz w:val="20"/>
              </w:rPr>
            </w:pPr>
            <w:r w:rsidRPr="0088203A">
              <w:rPr>
                <w:sz w:val="20"/>
              </w:rPr>
              <w:t>391.668</w:t>
            </w:r>
          </w:p>
        </w:tc>
        <w:tc>
          <w:tcPr>
            <w:tcW w:w="1167" w:type="dxa"/>
            <w:vAlign w:val="center"/>
          </w:tcPr>
          <w:p w14:paraId="22FA4BE6" w14:textId="77777777" w:rsidR="000303DE" w:rsidRPr="0088203A" w:rsidRDefault="000303DE" w:rsidP="00387AD6">
            <w:pPr>
              <w:spacing w:before="0"/>
              <w:jc w:val="center"/>
              <w:rPr>
                <w:sz w:val="20"/>
              </w:rPr>
            </w:pPr>
            <w:r w:rsidRPr="0088203A">
              <w:rPr>
                <w:sz w:val="20"/>
              </w:rPr>
              <w:t>9132.358</w:t>
            </w:r>
          </w:p>
        </w:tc>
      </w:tr>
      <w:tr w:rsidR="000303DE" w:rsidRPr="0088203A" w14:paraId="1665BB57" w14:textId="77777777" w:rsidTr="00281604">
        <w:trPr>
          <w:trHeight w:val="295"/>
          <w:jc w:val="center"/>
        </w:trPr>
        <w:tc>
          <w:tcPr>
            <w:tcW w:w="1425" w:type="dxa"/>
            <w:vAlign w:val="center"/>
          </w:tcPr>
          <w:p w14:paraId="349856FD" w14:textId="77777777" w:rsidR="000303DE" w:rsidRPr="0088203A" w:rsidRDefault="000303DE" w:rsidP="00387AD6">
            <w:pPr>
              <w:spacing w:before="0"/>
              <w:rPr>
                <w:sz w:val="20"/>
              </w:rPr>
            </w:pPr>
            <w:r w:rsidRPr="0088203A">
              <w:rPr>
                <w:sz w:val="20"/>
              </w:rPr>
              <w:t>MSRI</w:t>
            </w:r>
          </w:p>
        </w:tc>
        <w:tc>
          <w:tcPr>
            <w:tcW w:w="890" w:type="dxa"/>
            <w:vAlign w:val="center"/>
          </w:tcPr>
          <w:p w14:paraId="534DED11" w14:textId="77777777" w:rsidR="000303DE" w:rsidRPr="0088203A" w:rsidRDefault="000303DE" w:rsidP="00387AD6">
            <w:pPr>
              <w:spacing w:before="0"/>
              <w:jc w:val="center"/>
              <w:rPr>
                <w:sz w:val="20"/>
              </w:rPr>
            </w:pPr>
            <w:r w:rsidRPr="0088203A">
              <w:rPr>
                <w:sz w:val="20"/>
              </w:rPr>
              <w:t>144</w:t>
            </w:r>
          </w:p>
        </w:tc>
        <w:tc>
          <w:tcPr>
            <w:tcW w:w="1338" w:type="dxa"/>
            <w:vAlign w:val="center"/>
          </w:tcPr>
          <w:p w14:paraId="6F8C981D" w14:textId="77777777" w:rsidR="000303DE" w:rsidRPr="0088203A" w:rsidRDefault="000303DE" w:rsidP="00387AD6">
            <w:pPr>
              <w:spacing w:before="0"/>
              <w:jc w:val="center"/>
              <w:rPr>
                <w:sz w:val="20"/>
              </w:rPr>
            </w:pPr>
            <w:r w:rsidRPr="0088203A">
              <w:rPr>
                <w:sz w:val="20"/>
              </w:rPr>
              <w:t>3877.529</w:t>
            </w:r>
          </w:p>
        </w:tc>
        <w:tc>
          <w:tcPr>
            <w:tcW w:w="1426" w:type="dxa"/>
            <w:vAlign w:val="center"/>
          </w:tcPr>
          <w:p w14:paraId="7FB482CC" w14:textId="77777777" w:rsidR="000303DE" w:rsidRPr="0088203A" w:rsidRDefault="000303DE" w:rsidP="00387AD6">
            <w:pPr>
              <w:spacing w:before="0"/>
              <w:jc w:val="center"/>
              <w:rPr>
                <w:sz w:val="20"/>
              </w:rPr>
            </w:pPr>
            <w:r w:rsidRPr="0088203A">
              <w:rPr>
                <w:sz w:val="20"/>
              </w:rPr>
              <w:t>2645.007</w:t>
            </w:r>
          </w:p>
        </w:tc>
        <w:tc>
          <w:tcPr>
            <w:tcW w:w="1160" w:type="dxa"/>
            <w:vAlign w:val="center"/>
          </w:tcPr>
          <w:p w14:paraId="4B0ACC76" w14:textId="77777777" w:rsidR="000303DE" w:rsidRPr="0088203A" w:rsidRDefault="000303DE" w:rsidP="00387AD6">
            <w:pPr>
              <w:spacing w:before="0"/>
              <w:jc w:val="center"/>
              <w:rPr>
                <w:sz w:val="20"/>
              </w:rPr>
            </w:pPr>
            <w:r w:rsidRPr="0088203A">
              <w:rPr>
                <w:sz w:val="20"/>
              </w:rPr>
              <w:t>168.9716</w:t>
            </w:r>
          </w:p>
        </w:tc>
        <w:tc>
          <w:tcPr>
            <w:tcW w:w="1167" w:type="dxa"/>
            <w:vAlign w:val="center"/>
          </w:tcPr>
          <w:p w14:paraId="7852AA8C" w14:textId="77777777" w:rsidR="000303DE" w:rsidRPr="0088203A" w:rsidRDefault="000303DE" w:rsidP="00387AD6">
            <w:pPr>
              <w:spacing w:before="0"/>
              <w:jc w:val="center"/>
              <w:rPr>
                <w:sz w:val="20"/>
              </w:rPr>
            </w:pPr>
            <w:r w:rsidRPr="0088203A">
              <w:rPr>
                <w:sz w:val="20"/>
              </w:rPr>
              <w:t>9809.686</w:t>
            </w:r>
          </w:p>
        </w:tc>
      </w:tr>
      <w:tr w:rsidR="000303DE" w:rsidRPr="0088203A" w14:paraId="728466B0" w14:textId="77777777" w:rsidTr="00281604">
        <w:trPr>
          <w:trHeight w:val="279"/>
          <w:jc w:val="center"/>
        </w:trPr>
        <w:tc>
          <w:tcPr>
            <w:tcW w:w="1425" w:type="dxa"/>
            <w:vAlign w:val="center"/>
          </w:tcPr>
          <w:p w14:paraId="57D0C375" w14:textId="77777777" w:rsidR="000303DE" w:rsidRPr="0088203A" w:rsidRDefault="000303DE" w:rsidP="00387AD6">
            <w:pPr>
              <w:spacing w:before="0"/>
              <w:rPr>
                <w:sz w:val="20"/>
              </w:rPr>
            </w:pPr>
            <w:r w:rsidRPr="0088203A">
              <w:rPr>
                <w:sz w:val="20"/>
              </w:rPr>
              <w:t>Size</w:t>
            </w:r>
          </w:p>
        </w:tc>
        <w:tc>
          <w:tcPr>
            <w:tcW w:w="890" w:type="dxa"/>
            <w:vAlign w:val="center"/>
          </w:tcPr>
          <w:p w14:paraId="7EE74AF3" w14:textId="77777777" w:rsidR="000303DE" w:rsidRPr="0088203A" w:rsidRDefault="000303DE" w:rsidP="00387AD6">
            <w:pPr>
              <w:spacing w:before="0"/>
              <w:jc w:val="center"/>
              <w:rPr>
                <w:sz w:val="20"/>
              </w:rPr>
            </w:pPr>
            <w:r w:rsidRPr="0088203A">
              <w:rPr>
                <w:sz w:val="20"/>
              </w:rPr>
              <w:t>144</w:t>
            </w:r>
          </w:p>
        </w:tc>
        <w:tc>
          <w:tcPr>
            <w:tcW w:w="1338" w:type="dxa"/>
            <w:vAlign w:val="center"/>
          </w:tcPr>
          <w:p w14:paraId="0A333841" w14:textId="77777777" w:rsidR="000303DE" w:rsidRPr="0088203A" w:rsidRDefault="000303DE" w:rsidP="00387AD6">
            <w:pPr>
              <w:spacing w:before="0"/>
              <w:jc w:val="center"/>
              <w:rPr>
                <w:sz w:val="20"/>
              </w:rPr>
            </w:pPr>
            <w:r w:rsidRPr="0088203A">
              <w:rPr>
                <w:sz w:val="20"/>
              </w:rPr>
              <w:t>21387.36</w:t>
            </w:r>
          </w:p>
        </w:tc>
        <w:tc>
          <w:tcPr>
            <w:tcW w:w="1426" w:type="dxa"/>
            <w:vAlign w:val="center"/>
          </w:tcPr>
          <w:p w14:paraId="6A01BF59" w14:textId="77777777" w:rsidR="000303DE" w:rsidRPr="0088203A" w:rsidRDefault="000303DE" w:rsidP="00387AD6">
            <w:pPr>
              <w:spacing w:before="0"/>
              <w:jc w:val="center"/>
              <w:rPr>
                <w:sz w:val="20"/>
              </w:rPr>
            </w:pPr>
            <w:r w:rsidRPr="0088203A">
              <w:rPr>
                <w:sz w:val="20"/>
              </w:rPr>
              <w:t>19579.21</w:t>
            </w:r>
          </w:p>
        </w:tc>
        <w:tc>
          <w:tcPr>
            <w:tcW w:w="1160" w:type="dxa"/>
            <w:vAlign w:val="center"/>
          </w:tcPr>
          <w:p w14:paraId="601699D7" w14:textId="77777777" w:rsidR="000303DE" w:rsidRPr="0088203A" w:rsidRDefault="000303DE" w:rsidP="00387AD6">
            <w:pPr>
              <w:spacing w:before="0"/>
              <w:jc w:val="center"/>
              <w:rPr>
                <w:sz w:val="20"/>
              </w:rPr>
            </w:pPr>
            <w:r w:rsidRPr="0088203A">
              <w:rPr>
                <w:sz w:val="20"/>
              </w:rPr>
              <w:t>1960</w:t>
            </w:r>
          </w:p>
        </w:tc>
        <w:tc>
          <w:tcPr>
            <w:tcW w:w="1167" w:type="dxa"/>
            <w:vAlign w:val="center"/>
          </w:tcPr>
          <w:p w14:paraId="5E18A525" w14:textId="77777777" w:rsidR="000303DE" w:rsidRPr="0088203A" w:rsidRDefault="000303DE" w:rsidP="00387AD6">
            <w:pPr>
              <w:spacing w:before="0"/>
              <w:jc w:val="center"/>
              <w:rPr>
                <w:sz w:val="20"/>
              </w:rPr>
            </w:pPr>
            <w:r w:rsidRPr="0088203A">
              <w:rPr>
                <w:sz w:val="20"/>
              </w:rPr>
              <w:t>81107</w:t>
            </w:r>
          </w:p>
        </w:tc>
      </w:tr>
      <w:tr w:rsidR="000303DE" w:rsidRPr="0088203A" w14:paraId="403AAA74" w14:textId="77777777" w:rsidTr="00281604">
        <w:trPr>
          <w:trHeight w:val="279"/>
          <w:jc w:val="center"/>
        </w:trPr>
        <w:tc>
          <w:tcPr>
            <w:tcW w:w="1425" w:type="dxa"/>
            <w:tcBorders>
              <w:bottom w:val="single" w:sz="4" w:space="0" w:color="auto"/>
            </w:tcBorders>
            <w:vAlign w:val="center"/>
          </w:tcPr>
          <w:p w14:paraId="5C645D81" w14:textId="77777777" w:rsidR="000303DE" w:rsidRPr="0088203A" w:rsidRDefault="000303DE" w:rsidP="00387AD6">
            <w:pPr>
              <w:spacing w:before="0"/>
              <w:rPr>
                <w:sz w:val="20"/>
              </w:rPr>
            </w:pPr>
            <w:r w:rsidRPr="0088203A">
              <w:rPr>
                <w:sz w:val="20"/>
              </w:rPr>
              <w:t>FVL</w:t>
            </w:r>
          </w:p>
        </w:tc>
        <w:tc>
          <w:tcPr>
            <w:tcW w:w="890" w:type="dxa"/>
            <w:tcBorders>
              <w:bottom w:val="single" w:sz="4" w:space="0" w:color="auto"/>
            </w:tcBorders>
            <w:vAlign w:val="center"/>
          </w:tcPr>
          <w:p w14:paraId="1164098A" w14:textId="77777777" w:rsidR="000303DE" w:rsidRPr="0088203A" w:rsidRDefault="000303DE" w:rsidP="00387AD6">
            <w:pPr>
              <w:spacing w:before="0"/>
              <w:jc w:val="center"/>
              <w:rPr>
                <w:sz w:val="20"/>
              </w:rPr>
            </w:pPr>
            <w:r w:rsidRPr="0088203A">
              <w:rPr>
                <w:sz w:val="20"/>
              </w:rPr>
              <w:t>144</w:t>
            </w:r>
          </w:p>
        </w:tc>
        <w:tc>
          <w:tcPr>
            <w:tcW w:w="1338" w:type="dxa"/>
            <w:tcBorders>
              <w:bottom w:val="single" w:sz="4" w:space="0" w:color="auto"/>
            </w:tcBorders>
            <w:vAlign w:val="center"/>
          </w:tcPr>
          <w:p w14:paraId="45CEA748" w14:textId="77777777" w:rsidR="000303DE" w:rsidRPr="0088203A" w:rsidRDefault="000303DE" w:rsidP="00387AD6">
            <w:pPr>
              <w:spacing w:before="0"/>
              <w:jc w:val="center"/>
              <w:rPr>
                <w:sz w:val="20"/>
              </w:rPr>
            </w:pPr>
            <w:r w:rsidRPr="0088203A">
              <w:rPr>
                <w:sz w:val="20"/>
              </w:rPr>
              <w:t>1.815417</w:t>
            </w:r>
          </w:p>
        </w:tc>
        <w:tc>
          <w:tcPr>
            <w:tcW w:w="1426" w:type="dxa"/>
            <w:tcBorders>
              <w:bottom w:val="single" w:sz="4" w:space="0" w:color="auto"/>
            </w:tcBorders>
            <w:vAlign w:val="center"/>
          </w:tcPr>
          <w:p w14:paraId="23F45F2F" w14:textId="77777777" w:rsidR="000303DE" w:rsidRPr="0088203A" w:rsidRDefault="000303DE" w:rsidP="00387AD6">
            <w:pPr>
              <w:spacing w:before="0"/>
              <w:jc w:val="center"/>
              <w:rPr>
                <w:sz w:val="20"/>
              </w:rPr>
            </w:pPr>
            <w:r w:rsidRPr="0088203A">
              <w:rPr>
                <w:sz w:val="20"/>
              </w:rPr>
              <w:t>2.315518</w:t>
            </w:r>
          </w:p>
        </w:tc>
        <w:tc>
          <w:tcPr>
            <w:tcW w:w="1160" w:type="dxa"/>
            <w:tcBorders>
              <w:bottom w:val="single" w:sz="4" w:space="0" w:color="auto"/>
            </w:tcBorders>
            <w:vAlign w:val="center"/>
          </w:tcPr>
          <w:p w14:paraId="70F4425F" w14:textId="77777777" w:rsidR="000303DE" w:rsidRPr="0088203A" w:rsidRDefault="000303DE" w:rsidP="00387AD6">
            <w:pPr>
              <w:spacing w:before="0"/>
              <w:jc w:val="center"/>
              <w:rPr>
                <w:sz w:val="20"/>
              </w:rPr>
            </w:pPr>
            <w:r w:rsidRPr="0088203A">
              <w:rPr>
                <w:sz w:val="20"/>
              </w:rPr>
              <w:t>0.01</w:t>
            </w:r>
          </w:p>
        </w:tc>
        <w:tc>
          <w:tcPr>
            <w:tcW w:w="1167" w:type="dxa"/>
            <w:tcBorders>
              <w:bottom w:val="single" w:sz="4" w:space="0" w:color="auto"/>
            </w:tcBorders>
            <w:vAlign w:val="center"/>
          </w:tcPr>
          <w:p w14:paraId="65A32E78" w14:textId="77777777" w:rsidR="000303DE" w:rsidRPr="0088203A" w:rsidRDefault="000303DE" w:rsidP="00387AD6">
            <w:pPr>
              <w:spacing w:before="0"/>
              <w:jc w:val="center"/>
              <w:rPr>
                <w:sz w:val="20"/>
              </w:rPr>
            </w:pPr>
            <w:r w:rsidRPr="0088203A">
              <w:rPr>
                <w:sz w:val="20"/>
              </w:rPr>
              <w:t>12.98</w:t>
            </w:r>
          </w:p>
        </w:tc>
      </w:tr>
      <w:tr w:rsidR="000303DE" w:rsidRPr="0088203A" w14:paraId="056D38C4" w14:textId="77777777" w:rsidTr="00281604">
        <w:trPr>
          <w:trHeight w:val="840"/>
          <w:jc w:val="center"/>
        </w:trPr>
        <w:tc>
          <w:tcPr>
            <w:tcW w:w="7406" w:type="dxa"/>
            <w:gridSpan w:val="6"/>
            <w:tcBorders>
              <w:top w:val="single" w:sz="4" w:space="0" w:color="auto"/>
              <w:bottom w:val="single" w:sz="4" w:space="0" w:color="auto"/>
            </w:tcBorders>
            <w:vAlign w:val="center"/>
          </w:tcPr>
          <w:p w14:paraId="25A9FD75" w14:textId="77777777" w:rsidR="000303DE" w:rsidRPr="0088203A" w:rsidRDefault="000303DE" w:rsidP="00387AD6">
            <w:pPr>
              <w:spacing w:before="0"/>
              <w:rPr>
                <w:sz w:val="20"/>
              </w:rPr>
            </w:pPr>
            <w:r w:rsidRPr="0088203A">
              <w:rPr>
                <w:rFonts w:eastAsia="Calibri"/>
                <w:b/>
                <w:bCs/>
                <w:sz w:val="20"/>
                <w:lang w:val="en-ID" w:eastAsia="en-ID"/>
              </w:rPr>
              <w:t xml:space="preserve">ESG </w:t>
            </w:r>
            <w:r w:rsidRPr="0088203A">
              <w:rPr>
                <w:rFonts w:eastAsia="Calibri"/>
                <w:sz w:val="20"/>
                <w:lang w:val="en-ID" w:eastAsia="en-ID"/>
              </w:rPr>
              <w:t xml:space="preserve">environment social government </w:t>
            </w:r>
            <w:r w:rsidRPr="0088203A">
              <w:rPr>
                <w:rFonts w:eastAsia="Calibri"/>
                <w:b/>
                <w:bCs/>
                <w:sz w:val="20"/>
                <w:lang w:val="en-ID" w:eastAsia="en-ID"/>
              </w:rPr>
              <w:t>SRI</w:t>
            </w:r>
            <w:r w:rsidRPr="0088203A">
              <w:rPr>
                <w:rFonts w:eastAsia="Calibri"/>
                <w:sz w:val="20"/>
                <w:lang w:val="en-ID" w:eastAsia="en-ID"/>
              </w:rPr>
              <w:t xml:space="preserve"> social responsibility investment </w:t>
            </w:r>
            <w:r w:rsidRPr="0088203A">
              <w:rPr>
                <w:rFonts w:eastAsia="Calibri"/>
                <w:b/>
                <w:bCs/>
                <w:sz w:val="20"/>
                <w:lang w:val="en-ID" w:eastAsia="en-ID"/>
              </w:rPr>
              <w:t>GIN</w:t>
            </w:r>
            <w:r w:rsidRPr="0088203A">
              <w:rPr>
                <w:rFonts w:eastAsia="Calibri"/>
                <w:sz w:val="20"/>
                <w:lang w:val="en-ID" w:eastAsia="en-ID"/>
              </w:rPr>
              <w:t xml:space="preserve"> green innovation </w:t>
            </w:r>
            <w:r w:rsidRPr="0088203A">
              <w:rPr>
                <w:rFonts w:eastAsia="Calibri"/>
                <w:b/>
                <w:bCs/>
                <w:sz w:val="20"/>
                <w:lang w:val="en-ID" w:eastAsia="en-ID"/>
              </w:rPr>
              <w:t>SIZ</w:t>
            </w:r>
            <w:r w:rsidRPr="0088203A">
              <w:rPr>
                <w:rFonts w:eastAsia="Calibri"/>
                <w:sz w:val="20"/>
                <w:lang w:val="en-ID" w:eastAsia="en-ID"/>
              </w:rPr>
              <w:t xml:space="preserve"> firm size </w:t>
            </w:r>
            <w:r w:rsidRPr="0088203A">
              <w:rPr>
                <w:rFonts w:eastAsia="Calibri"/>
                <w:b/>
                <w:bCs/>
                <w:sz w:val="20"/>
                <w:lang w:val="en-ID" w:eastAsia="en-ID"/>
              </w:rPr>
              <w:t>MESG</w:t>
            </w:r>
            <w:r w:rsidRPr="0088203A">
              <w:rPr>
                <w:rFonts w:eastAsia="Calibri"/>
                <w:sz w:val="20"/>
                <w:lang w:val="en-ID" w:eastAsia="en-ID"/>
              </w:rPr>
              <w:t xml:space="preserve"> moderating interaction between green innovation and ESG </w:t>
            </w:r>
            <w:r w:rsidRPr="0088203A">
              <w:rPr>
                <w:rFonts w:eastAsia="Calibri"/>
                <w:b/>
                <w:bCs/>
                <w:sz w:val="20"/>
                <w:lang w:val="en-ID" w:eastAsia="en-ID"/>
              </w:rPr>
              <w:t>MSR</w:t>
            </w:r>
            <w:r w:rsidRPr="0088203A">
              <w:rPr>
                <w:rFonts w:eastAsia="Calibri"/>
                <w:sz w:val="20"/>
                <w:lang w:val="en-ID" w:eastAsia="en-ID"/>
              </w:rPr>
              <w:t xml:space="preserve">I moderating interaction between green innovation and SRI </w:t>
            </w:r>
            <w:r w:rsidRPr="0088203A">
              <w:rPr>
                <w:rFonts w:eastAsia="Calibri"/>
                <w:b/>
                <w:bCs/>
                <w:sz w:val="20"/>
                <w:lang w:val="en-ID" w:eastAsia="en-ID"/>
              </w:rPr>
              <w:t>FVL</w:t>
            </w:r>
            <w:r w:rsidRPr="0088203A">
              <w:rPr>
                <w:rFonts w:eastAsia="Calibri"/>
                <w:sz w:val="20"/>
                <w:lang w:val="en-ID" w:eastAsia="en-ID"/>
              </w:rPr>
              <w:t xml:space="preserve"> firm value</w:t>
            </w:r>
          </w:p>
        </w:tc>
      </w:tr>
    </w:tbl>
    <w:p w14:paraId="0A456352" w14:textId="77777777" w:rsidR="0088203A" w:rsidRDefault="0088203A" w:rsidP="000303DE">
      <w:pPr>
        <w:ind w:firstLine="720"/>
        <w:rPr>
          <w:i/>
          <w:iCs/>
          <w:sz w:val="20"/>
        </w:rPr>
        <w:sectPr w:rsidR="0088203A" w:rsidSect="00232D95">
          <w:type w:val="continuous"/>
          <w:pgSz w:w="11907" w:h="16840" w:code="9"/>
          <w:pgMar w:top="2268" w:right="1701" w:bottom="1701" w:left="2268" w:header="454" w:footer="567" w:gutter="0"/>
          <w:pgNumType w:start="173"/>
          <w:cols w:space="709"/>
          <w:docGrid w:linePitch="326"/>
        </w:sectPr>
      </w:pPr>
    </w:p>
    <w:p w14:paraId="4A2760B7" w14:textId="77777777" w:rsidR="000303DE" w:rsidRPr="0088203A" w:rsidRDefault="000303DE" w:rsidP="0004527E">
      <w:pPr>
        <w:spacing w:before="0"/>
        <w:ind w:firstLine="720"/>
        <w:rPr>
          <w:i/>
          <w:iCs/>
          <w:sz w:val="20"/>
        </w:rPr>
      </w:pPr>
      <w:r w:rsidRPr="0088203A">
        <w:rPr>
          <w:i/>
          <w:iCs/>
          <w:sz w:val="20"/>
        </w:rPr>
        <w:t xml:space="preserve">Source: Stata 19 data output </w:t>
      </w:r>
    </w:p>
    <w:p w14:paraId="55568E6D" w14:textId="77777777" w:rsidR="000303DE" w:rsidRPr="0088203A" w:rsidRDefault="000303DE" w:rsidP="00590890">
      <w:pPr>
        <w:pStyle w:val="a0"/>
        <w:rPr>
          <w:sz w:val="22"/>
          <w:szCs w:val="22"/>
          <w:lang w:val="en-US"/>
        </w:rPr>
      </w:pPr>
    </w:p>
    <w:p w14:paraId="57AF0276" w14:textId="77777777" w:rsidR="0088203A" w:rsidRDefault="0088203A" w:rsidP="007F24CC">
      <w:pPr>
        <w:pStyle w:val="a0"/>
        <w:spacing w:line="240" w:lineRule="auto"/>
        <w:rPr>
          <w:sz w:val="22"/>
          <w:szCs w:val="22"/>
          <w:lang w:val="en-US"/>
        </w:rPr>
        <w:sectPr w:rsidR="0088203A" w:rsidSect="0088203A">
          <w:type w:val="continuous"/>
          <w:pgSz w:w="11907" w:h="16840" w:code="9"/>
          <w:pgMar w:top="2268" w:right="1701" w:bottom="1701" w:left="2268" w:header="454" w:footer="567" w:gutter="0"/>
          <w:pgNumType w:start="27"/>
          <w:cols w:space="709"/>
          <w:docGrid w:linePitch="326"/>
        </w:sectPr>
      </w:pPr>
    </w:p>
    <w:p w14:paraId="69A53DD2" w14:textId="768969A1" w:rsidR="00590890" w:rsidRPr="0088203A" w:rsidRDefault="000303DE" w:rsidP="007F24CC">
      <w:pPr>
        <w:pStyle w:val="a0"/>
        <w:spacing w:line="240" w:lineRule="auto"/>
        <w:rPr>
          <w:sz w:val="22"/>
          <w:szCs w:val="22"/>
          <w:lang w:val="en-US"/>
        </w:rPr>
      </w:pPr>
      <w:r w:rsidRPr="0088203A">
        <w:rPr>
          <w:sz w:val="22"/>
          <w:szCs w:val="22"/>
          <w:lang w:val="en-US"/>
        </w:rPr>
        <w:t xml:space="preserve">Table 1 shows the descriptive statistics of 144 firm-year observations. The ESG, SRI, and GIN variables have average values of 56.291, 62.489, and 58.923, respectively, indicating that the sampled firms generally show moderate to relatively high sustainability and green innovation performance. However, the fairly large standard deviations and wide minimum–maximum ranges suggest that the level of ESG implementation, socially responsible investment, and </w:t>
      </w:r>
      <w:r w:rsidRPr="0088203A">
        <w:rPr>
          <w:sz w:val="22"/>
          <w:szCs w:val="22"/>
          <w:lang w:val="en-US"/>
        </w:rPr>
        <w:t>green innovation differs across firms. The interaction variables, MESG and MSRI, also show high variation because they are formed from the multiplication of green innovation with ESG and SRI. Firm size varies substantially, indicating differences in company scale within the sample. Meanwhile, firm value has an average of 1.815, with values ranging from 0.01 to 12.98, showing that market valuation among firms is quite diverse.</w:t>
      </w:r>
    </w:p>
    <w:p w14:paraId="6FFE452D" w14:textId="77777777" w:rsidR="0088203A" w:rsidRDefault="0088203A" w:rsidP="007F24CC">
      <w:pPr>
        <w:pStyle w:val="a0"/>
        <w:spacing w:line="240" w:lineRule="auto"/>
        <w:rPr>
          <w:sz w:val="22"/>
          <w:szCs w:val="22"/>
          <w:lang w:val="en-US"/>
        </w:rPr>
        <w:sectPr w:rsidR="0088203A" w:rsidSect="0088203A">
          <w:type w:val="continuous"/>
          <w:pgSz w:w="11907" w:h="16840" w:code="9"/>
          <w:pgMar w:top="2268" w:right="1701" w:bottom="1701" w:left="2268" w:header="454" w:footer="567" w:gutter="0"/>
          <w:pgNumType w:start="27"/>
          <w:cols w:num="2" w:space="709"/>
          <w:docGrid w:linePitch="326"/>
        </w:sectPr>
      </w:pPr>
    </w:p>
    <w:p w14:paraId="4EB895F1" w14:textId="77777777" w:rsidR="000303DE" w:rsidRPr="0088203A" w:rsidRDefault="000303DE" w:rsidP="007F24CC">
      <w:pPr>
        <w:pStyle w:val="a0"/>
        <w:spacing w:line="240" w:lineRule="auto"/>
        <w:rPr>
          <w:sz w:val="22"/>
          <w:szCs w:val="22"/>
          <w:lang w:val="en-US"/>
        </w:rPr>
      </w:pPr>
    </w:p>
    <w:p w14:paraId="60E4A101" w14:textId="77777777" w:rsidR="000303DE" w:rsidRPr="0088203A" w:rsidRDefault="000303DE" w:rsidP="000303DE">
      <w:pPr>
        <w:spacing w:before="0"/>
        <w:ind w:firstLine="720"/>
        <w:jc w:val="center"/>
        <w:rPr>
          <w:i/>
          <w:iCs/>
          <w:sz w:val="20"/>
        </w:rPr>
      </w:pPr>
      <w:r w:rsidRPr="0088203A">
        <w:rPr>
          <w:i/>
          <w:iCs/>
          <w:sz w:val="20"/>
        </w:rPr>
        <w:t xml:space="preserve">Table 2 </w:t>
      </w:r>
    </w:p>
    <w:p w14:paraId="5E4ED5F8" w14:textId="0FF3FE19" w:rsidR="000303DE" w:rsidRPr="0088203A" w:rsidRDefault="000303DE" w:rsidP="000303DE">
      <w:pPr>
        <w:spacing w:before="0" w:after="240"/>
        <w:ind w:firstLine="720"/>
        <w:jc w:val="center"/>
        <w:rPr>
          <w:i/>
          <w:iCs/>
          <w:sz w:val="20"/>
        </w:rPr>
      </w:pPr>
      <w:r w:rsidRPr="0088203A">
        <w:rPr>
          <w:i/>
          <w:iCs/>
          <w:sz w:val="20"/>
        </w:rPr>
        <w:t>Correlation Matrix</w:t>
      </w:r>
    </w:p>
    <w:p w14:paraId="22FFEA87" w14:textId="77777777" w:rsidR="0088203A" w:rsidRDefault="0088203A" w:rsidP="00387AD6">
      <w:pPr>
        <w:spacing w:before="0"/>
        <w:ind w:firstLine="0"/>
        <w:jc w:val="center"/>
        <w:rPr>
          <w:b/>
          <w:sz w:val="20"/>
        </w:rPr>
        <w:sectPr w:rsidR="0088203A" w:rsidSect="0088203A">
          <w:type w:val="continuous"/>
          <w:pgSz w:w="11907" w:h="16840" w:code="9"/>
          <w:pgMar w:top="2268" w:right="1701" w:bottom="1701" w:left="2268" w:header="454" w:footer="567" w:gutter="0"/>
          <w:pgNumType w:start="27"/>
          <w:cols w:space="709"/>
          <w:docGrid w:linePitch="326"/>
        </w:sectPr>
      </w:pPr>
    </w:p>
    <w:tbl>
      <w:tblPr>
        <w:tblW w:w="9087" w:type="dxa"/>
        <w:jc w:val="center"/>
        <w:tblLayout w:type="fixed"/>
        <w:tblLook w:val="04A0" w:firstRow="1" w:lastRow="0" w:firstColumn="1" w:lastColumn="0" w:noHBand="0" w:noVBand="1"/>
      </w:tblPr>
      <w:tblGrid>
        <w:gridCol w:w="810"/>
        <w:gridCol w:w="180"/>
        <w:gridCol w:w="749"/>
        <w:gridCol w:w="180"/>
        <w:gridCol w:w="691"/>
        <w:gridCol w:w="180"/>
        <w:gridCol w:w="720"/>
        <w:gridCol w:w="177"/>
        <w:gridCol w:w="723"/>
        <w:gridCol w:w="177"/>
        <w:gridCol w:w="723"/>
        <w:gridCol w:w="177"/>
        <w:gridCol w:w="752"/>
        <w:gridCol w:w="177"/>
        <w:gridCol w:w="752"/>
        <w:gridCol w:w="177"/>
        <w:gridCol w:w="755"/>
        <w:gridCol w:w="177"/>
        <w:gridCol w:w="633"/>
        <w:gridCol w:w="177"/>
      </w:tblGrid>
      <w:tr w:rsidR="000303DE" w:rsidRPr="0088203A" w14:paraId="6EBBE5FC" w14:textId="77777777" w:rsidTr="0088203A">
        <w:trPr>
          <w:trHeight w:val="250"/>
          <w:tblHeader/>
          <w:jc w:val="center"/>
        </w:trPr>
        <w:tc>
          <w:tcPr>
            <w:tcW w:w="990" w:type="dxa"/>
            <w:gridSpan w:val="2"/>
            <w:tcBorders>
              <w:top w:val="single" w:sz="4" w:space="0" w:color="auto"/>
              <w:bottom w:val="single" w:sz="4" w:space="0" w:color="auto"/>
            </w:tcBorders>
            <w:shd w:val="clear" w:color="auto" w:fill="D9EAF7"/>
            <w:vAlign w:val="center"/>
          </w:tcPr>
          <w:p w14:paraId="11737678" w14:textId="77777777" w:rsidR="000303DE" w:rsidRPr="0088203A" w:rsidRDefault="000303DE" w:rsidP="00387AD6">
            <w:pPr>
              <w:spacing w:before="0"/>
              <w:ind w:firstLine="0"/>
              <w:jc w:val="center"/>
              <w:rPr>
                <w:sz w:val="20"/>
              </w:rPr>
            </w:pPr>
            <w:r w:rsidRPr="0088203A">
              <w:rPr>
                <w:b/>
                <w:sz w:val="20"/>
              </w:rPr>
              <w:t>Variable</w:t>
            </w:r>
          </w:p>
        </w:tc>
        <w:tc>
          <w:tcPr>
            <w:tcW w:w="929" w:type="dxa"/>
            <w:gridSpan w:val="2"/>
            <w:tcBorders>
              <w:top w:val="single" w:sz="4" w:space="0" w:color="auto"/>
              <w:bottom w:val="single" w:sz="4" w:space="0" w:color="auto"/>
            </w:tcBorders>
            <w:shd w:val="clear" w:color="auto" w:fill="D9EAF7"/>
            <w:vAlign w:val="center"/>
          </w:tcPr>
          <w:p w14:paraId="1594983D" w14:textId="77777777" w:rsidR="000303DE" w:rsidRPr="0088203A" w:rsidRDefault="000303DE" w:rsidP="00387AD6">
            <w:pPr>
              <w:spacing w:before="0"/>
              <w:ind w:firstLine="0"/>
              <w:jc w:val="center"/>
              <w:rPr>
                <w:sz w:val="20"/>
              </w:rPr>
            </w:pPr>
            <w:r w:rsidRPr="0088203A">
              <w:rPr>
                <w:b/>
                <w:sz w:val="20"/>
              </w:rPr>
              <w:t>ID</w:t>
            </w:r>
          </w:p>
        </w:tc>
        <w:tc>
          <w:tcPr>
            <w:tcW w:w="871" w:type="dxa"/>
            <w:gridSpan w:val="2"/>
            <w:tcBorders>
              <w:top w:val="single" w:sz="4" w:space="0" w:color="auto"/>
              <w:bottom w:val="single" w:sz="4" w:space="0" w:color="auto"/>
            </w:tcBorders>
            <w:shd w:val="clear" w:color="auto" w:fill="D9EAF7"/>
            <w:vAlign w:val="center"/>
          </w:tcPr>
          <w:p w14:paraId="00A109F2" w14:textId="77777777" w:rsidR="000303DE" w:rsidRPr="0088203A" w:rsidRDefault="000303DE" w:rsidP="00387AD6">
            <w:pPr>
              <w:spacing w:before="0"/>
              <w:ind w:firstLine="0"/>
              <w:jc w:val="center"/>
              <w:rPr>
                <w:sz w:val="20"/>
              </w:rPr>
            </w:pPr>
            <w:r w:rsidRPr="0088203A">
              <w:rPr>
                <w:b/>
                <w:sz w:val="20"/>
              </w:rPr>
              <w:t>Year</w:t>
            </w:r>
          </w:p>
        </w:tc>
        <w:tc>
          <w:tcPr>
            <w:tcW w:w="897" w:type="dxa"/>
            <w:gridSpan w:val="2"/>
            <w:tcBorders>
              <w:top w:val="single" w:sz="4" w:space="0" w:color="auto"/>
              <w:bottom w:val="single" w:sz="4" w:space="0" w:color="auto"/>
            </w:tcBorders>
            <w:shd w:val="clear" w:color="auto" w:fill="D9EAF7"/>
            <w:vAlign w:val="center"/>
          </w:tcPr>
          <w:p w14:paraId="3D073BB7" w14:textId="77777777" w:rsidR="000303DE" w:rsidRPr="0088203A" w:rsidRDefault="000303DE" w:rsidP="00387AD6">
            <w:pPr>
              <w:spacing w:before="0"/>
              <w:ind w:firstLine="0"/>
              <w:jc w:val="center"/>
              <w:rPr>
                <w:sz w:val="20"/>
              </w:rPr>
            </w:pPr>
            <w:r w:rsidRPr="0088203A">
              <w:rPr>
                <w:b/>
                <w:sz w:val="20"/>
              </w:rPr>
              <w:t>ESG</w:t>
            </w:r>
          </w:p>
        </w:tc>
        <w:tc>
          <w:tcPr>
            <w:tcW w:w="900" w:type="dxa"/>
            <w:gridSpan w:val="2"/>
            <w:tcBorders>
              <w:top w:val="single" w:sz="4" w:space="0" w:color="auto"/>
              <w:bottom w:val="single" w:sz="4" w:space="0" w:color="auto"/>
            </w:tcBorders>
            <w:shd w:val="clear" w:color="auto" w:fill="D9EAF7"/>
            <w:vAlign w:val="center"/>
          </w:tcPr>
          <w:p w14:paraId="598ABB2A" w14:textId="77777777" w:rsidR="000303DE" w:rsidRPr="0088203A" w:rsidRDefault="000303DE" w:rsidP="00387AD6">
            <w:pPr>
              <w:spacing w:before="0"/>
              <w:jc w:val="center"/>
              <w:rPr>
                <w:sz w:val="20"/>
              </w:rPr>
            </w:pPr>
            <w:r w:rsidRPr="0088203A">
              <w:rPr>
                <w:b/>
                <w:sz w:val="20"/>
              </w:rPr>
              <w:t>SRI</w:t>
            </w:r>
          </w:p>
        </w:tc>
        <w:tc>
          <w:tcPr>
            <w:tcW w:w="900" w:type="dxa"/>
            <w:gridSpan w:val="2"/>
            <w:tcBorders>
              <w:top w:val="single" w:sz="4" w:space="0" w:color="auto"/>
              <w:bottom w:val="single" w:sz="4" w:space="0" w:color="auto"/>
            </w:tcBorders>
            <w:shd w:val="clear" w:color="auto" w:fill="D9EAF7"/>
            <w:vAlign w:val="center"/>
          </w:tcPr>
          <w:p w14:paraId="3A3B1DD7" w14:textId="77777777" w:rsidR="000303DE" w:rsidRPr="0088203A" w:rsidRDefault="000303DE" w:rsidP="0088203A">
            <w:pPr>
              <w:spacing w:before="0"/>
              <w:ind w:firstLine="0"/>
              <w:jc w:val="center"/>
              <w:rPr>
                <w:sz w:val="20"/>
              </w:rPr>
            </w:pPr>
            <w:r w:rsidRPr="0088203A">
              <w:rPr>
                <w:b/>
                <w:sz w:val="20"/>
              </w:rPr>
              <w:t>GIN</w:t>
            </w:r>
          </w:p>
        </w:tc>
        <w:tc>
          <w:tcPr>
            <w:tcW w:w="929" w:type="dxa"/>
            <w:gridSpan w:val="2"/>
            <w:tcBorders>
              <w:top w:val="single" w:sz="4" w:space="0" w:color="auto"/>
              <w:bottom w:val="single" w:sz="4" w:space="0" w:color="auto"/>
            </w:tcBorders>
            <w:shd w:val="clear" w:color="auto" w:fill="D9EAF7"/>
            <w:vAlign w:val="center"/>
          </w:tcPr>
          <w:p w14:paraId="08F483F2" w14:textId="77777777" w:rsidR="000303DE" w:rsidRPr="0088203A" w:rsidRDefault="000303DE" w:rsidP="00387AD6">
            <w:pPr>
              <w:spacing w:before="0"/>
              <w:ind w:firstLine="0"/>
              <w:jc w:val="center"/>
              <w:rPr>
                <w:sz w:val="20"/>
              </w:rPr>
            </w:pPr>
            <w:r w:rsidRPr="0088203A">
              <w:rPr>
                <w:b/>
                <w:sz w:val="20"/>
              </w:rPr>
              <w:t>MESG</w:t>
            </w:r>
          </w:p>
        </w:tc>
        <w:tc>
          <w:tcPr>
            <w:tcW w:w="929" w:type="dxa"/>
            <w:gridSpan w:val="2"/>
            <w:tcBorders>
              <w:top w:val="single" w:sz="4" w:space="0" w:color="auto"/>
              <w:bottom w:val="single" w:sz="4" w:space="0" w:color="auto"/>
            </w:tcBorders>
            <w:shd w:val="clear" w:color="auto" w:fill="D9EAF7"/>
            <w:vAlign w:val="center"/>
          </w:tcPr>
          <w:p w14:paraId="27768F4A" w14:textId="77777777" w:rsidR="000303DE" w:rsidRPr="0088203A" w:rsidRDefault="000303DE" w:rsidP="00387AD6">
            <w:pPr>
              <w:spacing w:before="0"/>
              <w:ind w:firstLine="0"/>
              <w:jc w:val="center"/>
              <w:rPr>
                <w:sz w:val="20"/>
              </w:rPr>
            </w:pPr>
            <w:r w:rsidRPr="0088203A">
              <w:rPr>
                <w:b/>
                <w:sz w:val="20"/>
              </w:rPr>
              <w:t>MSRI</w:t>
            </w:r>
          </w:p>
        </w:tc>
        <w:tc>
          <w:tcPr>
            <w:tcW w:w="932" w:type="dxa"/>
            <w:gridSpan w:val="2"/>
            <w:tcBorders>
              <w:top w:val="single" w:sz="4" w:space="0" w:color="auto"/>
              <w:bottom w:val="single" w:sz="4" w:space="0" w:color="auto"/>
            </w:tcBorders>
            <w:shd w:val="clear" w:color="auto" w:fill="D9EAF7"/>
            <w:vAlign w:val="center"/>
          </w:tcPr>
          <w:p w14:paraId="0A63E274" w14:textId="77777777" w:rsidR="000303DE" w:rsidRPr="0088203A" w:rsidRDefault="000303DE" w:rsidP="0088203A">
            <w:pPr>
              <w:spacing w:before="0"/>
              <w:ind w:firstLine="0"/>
              <w:jc w:val="center"/>
              <w:rPr>
                <w:sz w:val="20"/>
              </w:rPr>
            </w:pPr>
            <w:r w:rsidRPr="0088203A">
              <w:rPr>
                <w:b/>
                <w:sz w:val="20"/>
              </w:rPr>
              <w:t>Size</w:t>
            </w:r>
          </w:p>
        </w:tc>
        <w:tc>
          <w:tcPr>
            <w:tcW w:w="810" w:type="dxa"/>
            <w:gridSpan w:val="2"/>
            <w:tcBorders>
              <w:top w:val="single" w:sz="4" w:space="0" w:color="auto"/>
              <w:bottom w:val="single" w:sz="4" w:space="0" w:color="auto"/>
            </w:tcBorders>
            <w:shd w:val="clear" w:color="auto" w:fill="D9EAF7"/>
            <w:vAlign w:val="center"/>
          </w:tcPr>
          <w:p w14:paraId="34F32414" w14:textId="77777777" w:rsidR="000303DE" w:rsidRPr="0088203A" w:rsidRDefault="000303DE" w:rsidP="0088203A">
            <w:pPr>
              <w:spacing w:before="0"/>
              <w:ind w:hanging="15"/>
              <w:jc w:val="center"/>
              <w:rPr>
                <w:sz w:val="20"/>
              </w:rPr>
            </w:pPr>
            <w:r w:rsidRPr="0088203A">
              <w:rPr>
                <w:b/>
                <w:sz w:val="20"/>
              </w:rPr>
              <w:t>FVL</w:t>
            </w:r>
          </w:p>
        </w:tc>
      </w:tr>
      <w:tr w:rsidR="000303DE" w:rsidRPr="0088203A" w14:paraId="00D44898" w14:textId="77777777" w:rsidTr="0088203A">
        <w:trPr>
          <w:gridAfter w:val="1"/>
          <w:wAfter w:w="177" w:type="dxa"/>
          <w:trHeight w:val="300"/>
          <w:jc w:val="center"/>
        </w:trPr>
        <w:tc>
          <w:tcPr>
            <w:tcW w:w="810" w:type="dxa"/>
            <w:tcBorders>
              <w:top w:val="single" w:sz="4" w:space="0" w:color="auto"/>
            </w:tcBorders>
            <w:vAlign w:val="center"/>
          </w:tcPr>
          <w:p w14:paraId="3972E2C4" w14:textId="77777777" w:rsidR="000303DE" w:rsidRPr="0088203A" w:rsidRDefault="000303DE" w:rsidP="0088203A">
            <w:pPr>
              <w:spacing w:before="0"/>
              <w:ind w:firstLine="0"/>
              <w:rPr>
                <w:sz w:val="20"/>
              </w:rPr>
            </w:pPr>
            <w:r w:rsidRPr="0088203A">
              <w:rPr>
                <w:sz w:val="20"/>
              </w:rPr>
              <w:t>ESG</w:t>
            </w:r>
          </w:p>
        </w:tc>
        <w:tc>
          <w:tcPr>
            <w:tcW w:w="929" w:type="dxa"/>
            <w:gridSpan w:val="2"/>
            <w:tcBorders>
              <w:top w:val="single" w:sz="4" w:space="0" w:color="auto"/>
            </w:tcBorders>
            <w:vAlign w:val="center"/>
          </w:tcPr>
          <w:p w14:paraId="07725A8A" w14:textId="77777777" w:rsidR="000303DE" w:rsidRPr="0088203A" w:rsidRDefault="000303DE" w:rsidP="00387AD6">
            <w:pPr>
              <w:spacing w:before="0"/>
              <w:ind w:firstLine="0"/>
              <w:jc w:val="center"/>
              <w:rPr>
                <w:sz w:val="20"/>
              </w:rPr>
            </w:pPr>
            <w:r w:rsidRPr="0088203A">
              <w:rPr>
                <w:sz w:val="20"/>
              </w:rPr>
              <w:t>-0.1541</w:t>
            </w:r>
          </w:p>
        </w:tc>
        <w:tc>
          <w:tcPr>
            <w:tcW w:w="871" w:type="dxa"/>
            <w:gridSpan w:val="2"/>
            <w:tcBorders>
              <w:top w:val="single" w:sz="4" w:space="0" w:color="auto"/>
            </w:tcBorders>
            <w:vAlign w:val="center"/>
          </w:tcPr>
          <w:p w14:paraId="490811BC" w14:textId="77777777" w:rsidR="000303DE" w:rsidRPr="0088203A" w:rsidRDefault="000303DE" w:rsidP="00387AD6">
            <w:pPr>
              <w:spacing w:before="0"/>
              <w:ind w:firstLine="0"/>
              <w:jc w:val="center"/>
              <w:rPr>
                <w:sz w:val="20"/>
              </w:rPr>
            </w:pPr>
            <w:r w:rsidRPr="0088203A">
              <w:rPr>
                <w:sz w:val="20"/>
              </w:rPr>
              <w:t>0.5007</w:t>
            </w:r>
          </w:p>
        </w:tc>
        <w:tc>
          <w:tcPr>
            <w:tcW w:w="900" w:type="dxa"/>
            <w:gridSpan w:val="2"/>
            <w:tcBorders>
              <w:top w:val="single" w:sz="4" w:space="0" w:color="auto"/>
            </w:tcBorders>
            <w:vAlign w:val="center"/>
          </w:tcPr>
          <w:p w14:paraId="559D3C93" w14:textId="77777777" w:rsidR="000303DE" w:rsidRPr="0088203A" w:rsidRDefault="000303DE" w:rsidP="00387AD6">
            <w:pPr>
              <w:spacing w:before="0"/>
              <w:ind w:firstLine="0"/>
              <w:jc w:val="center"/>
              <w:rPr>
                <w:sz w:val="20"/>
              </w:rPr>
            </w:pPr>
            <w:r w:rsidRPr="0088203A">
              <w:rPr>
                <w:sz w:val="20"/>
              </w:rPr>
              <w:t>1.0000</w:t>
            </w:r>
          </w:p>
        </w:tc>
        <w:tc>
          <w:tcPr>
            <w:tcW w:w="900" w:type="dxa"/>
            <w:gridSpan w:val="2"/>
            <w:tcBorders>
              <w:top w:val="single" w:sz="4" w:space="0" w:color="auto"/>
            </w:tcBorders>
            <w:vAlign w:val="center"/>
          </w:tcPr>
          <w:p w14:paraId="0C29C718" w14:textId="77777777" w:rsidR="000303DE" w:rsidRPr="0088203A" w:rsidRDefault="000303DE" w:rsidP="00387AD6">
            <w:pPr>
              <w:spacing w:before="0"/>
              <w:ind w:firstLine="30"/>
              <w:jc w:val="center"/>
              <w:rPr>
                <w:sz w:val="20"/>
              </w:rPr>
            </w:pPr>
          </w:p>
        </w:tc>
        <w:tc>
          <w:tcPr>
            <w:tcW w:w="900" w:type="dxa"/>
            <w:gridSpan w:val="2"/>
            <w:tcBorders>
              <w:top w:val="single" w:sz="4" w:space="0" w:color="auto"/>
            </w:tcBorders>
            <w:vAlign w:val="center"/>
          </w:tcPr>
          <w:p w14:paraId="39C7A894" w14:textId="77777777" w:rsidR="000303DE" w:rsidRPr="0088203A" w:rsidRDefault="000303DE" w:rsidP="00387AD6">
            <w:pPr>
              <w:spacing w:before="0"/>
              <w:ind w:firstLine="5"/>
              <w:jc w:val="center"/>
              <w:rPr>
                <w:sz w:val="20"/>
              </w:rPr>
            </w:pPr>
          </w:p>
        </w:tc>
        <w:tc>
          <w:tcPr>
            <w:tcW w:w="929" w:type="dxa"/>
            <w:gridSpan w:val="2"/>
            <w:tcBorders>
              <w:top w:val="single" w:sz="4" w:space="0" w:color="auto"/>
            </w:tcBorders>
            <w:vAlign w:val="center"/>
          </w:tcPr>
          <w:p w14:paraId="3B9B0CD5" w14:textId="77777777" w:rsidR="000303DE" w:rsidRPr="0088203A" w:rsidRDefault="000303DE" w:rsidP="00387AD6">
            <w:pPr>
              <w:spacing w:before="0"/>
              <w:jc w:val="center"/>
              <w:rPr>
                <w:sz w:val="20"/>
              </w:rPr>
            </w:pPr>
          </w:p>
        </w:tc>
        <w:tc>
          <w:tcPr>
            <w:tcW w:w="929" w:type="dxa"/>
            <w:gridSpan w:val="2"/>
            <w:tcBorders>
              <w:top w:val="single" w:sz="4" w:space="0" w:color="auto"/>
            </w:tcBorders>
            <w:vAlign w:val="center"/>
          </w:tcPr>
          <w:p w14:paraId="464823C4" w14:textId="77777777" w:rsidR="000303DE" w:rsidRPr="0088203A" w:rsidRDefault="000303DE" w:rsidP="00387AD6">
            <w:pPr>
              <w:spacing w:before="0"/>
              <w:jc w:val="center"/>
              <w:rPr>
                <w:sz w:val="20"/>
              </w:rPr>
            </w:pPr>
          </w:p>
        </w:tc>
        <w:tc>
          <w:tcPr>
            <w:tcW w:w="932" w:type="dxa"/>
            <w:gridSpan w:val="2"/>
            <w:tcBorders>
              <w:top w:val="single" w:sz="4" w:space="0" w:color="auto"/>
            </w:tcBorders>
            <w:vAlign w:val="center"/>
          </w:tcPr>
          <w:p w14:paraId="5890EE9E" w14:textId="77777777" w:rsidR="000303DE" w:rsidRPr="0088203A" w:rsidRDefault="000303DE" w:rsidP="00387AD6">
            <w:pPr>
              <w:spacing w:before="0"/>
              <w:jc w:val="center"/>
              <w:rPr>
                <w:sz w:val="20"/>
              </w:rPr>
            </w:pPr>
          </w:p>
        </w:tc>
        <w:tc>
          <w:tcPr>
            <w:tcW w:w="810" w:type="dxa"/>
            <w:gridSpan w:val="2"/>
            <w:tcBorders>
              <w:top w:val="single" w:sz="4" w:space="0" w:color="auto"/>
            </w:tcBorders>
            <w:vAlign w:val="center"/>
          </w:tcPr>
          <w:p w14:paraId="4B1F0A20" w14:textId="77777777" w:rsidR="000303DE" w:rsidRPr="0088203A" w:rsidRDefault="000303DE" w:rsidP="00387AD6">
            <w:pPr>
              <w:spacing w:before="0"/>
              <w:jc w:val="center"/>
              <w:rPr>
                <w:sz w:val="20"/>
              </w:rPr>
            </w:pPr>
          </w:p>
        </w:tc>
      </w:tr>
      <w:tr w:rsidR="000303DE" w:rsidRPr="0088203A" w14:paraId="17019029" w14:textId="77777777" w:rsidTr="0088203A">
        <w:trPr>
          <w:gridAfter w:val="1"/>
          <w:wAfter w:w="177" w:type="dxa"/>
          <w:trHeight w:val="300"/>
          <w:jc w:val="center"/>
        </w:trPr>
        <w:tc>
          <w:tcPr>
            <w:tcW w:w="810" w:type="dxa"/>
            <w:vAlign w:val="center"/>
          </w:tcPr>
          <w:p w14:paraId="6AF18FF6" w14:textId="77777777" w:rsidR="000303DE" w:rsidRPr="0088203A" w:rsidRDefault="000303DE" w:rsidP="0088203A">
            <w:pPr>
              <w:spacing w:before="0"/>
              <w:ind w:firstLine="0"/>
              <w:rPr>
                <w:sz w:val="20"/>
              </w:rPr>
            </w:pPr>
            <w:r w:rsidRPr="0088203A">
              <w:rPr>
                <w:sz w:val="20"/>
              </w:rPr>
              <w:t>SRI</w:t>
            </w:r>
          </w:p>
        </w:tc>
        <w:tc>
          <w:tcPr>
            <w:tcW w:w="929" w:type="dxa"/>
            <w:gridSpan w:val="2"/>
            <w:vAlign w:val="center"/>
          </w:tcPr>
          <w:p w14:paraId="502CB8AB" w14:textId="77777777" w:rsidR="000303DE" w:rsidRPr="0088203A" w:rsidRDefault="000303DE" w:rsidP="00387AD6">
            <w:pPr>
              <w:spacing w:before="0"/>
              <w:ind w:firstLine="0"/>
              <w:jc w:val="center"/>
              <w:rPr>
                <w:sz w:val="20"/>
              </w:rPr>
            </w:pPr>
            <w:r w:rsidRPr="0088203A">
              <w:rPr>
                <w:sz w:val="20"/>
              </w:rPr>
              <w:t>-0.2305</w:t>
            </w:r>
          </w:p>
        </w:tc>
        <w:tc>
          <w:tcPr>
            <w:tcW w:w="871" w:type="dxa"/>
            <w:gridSpan w:val="2"/>
            <w:vAlign w:val="center"/>
          </w:tcPr>
          <w:p w14:paraId="5EB55781" w14:textId="77777777" w:rsidR="000303DE" w:rsidRPr="0088203A" w:rsidRDefault="000303DE" w:rsidP="00387AD6">
            <w:pPr>
              <w:spacing w:before="0"/>
              <w:ind w:firstLine="0"/>
              <w:jc w:val="center"/>
              <w:rPr>
                <w:sz w:val="20"/>
              </w:rPr>
            </w:pPr>
            <w:r w:rsidRPr="0088203A">
              <w:rPr>
                <w:sz w:val="20"/>
              </w:rPr>
              <w:t>0.4251</w:t>
            </w:r>
          </w:p>
        </w:tc>
        <w:tc>
          <w:tcPr>
            <w:tcW w:w="900" w:type="dxa"/>
            <w:gridSpan w:val="2"/>
            <w:vAlign w:val="center"/>
          </w:tcPr>
          <w:p w14:paraId="6DEAD277" w14:textId="77777777" w:rsidR="000303DE" w:rsidRPr="0088203A" w:rsidRDefault="000303DE" w:rsidP="00387AD6">
            <w:pPr>
              <w:spacing w:before="0"/>
              <w:ind w:firstLine="0"/>
              <w:jc w:val="center"/>
              <w:rPr>
                <w:sz w:val="20"/>
              </w:rPr>
            </w:pPr>
            <w:r w:rsidRPr="0088203A">
              <w:rPr>
                <w:sz w:val="20"/>
              </w:rPr>
              <w:t>0.7201</w:t>
            </w:r>
          </w:p>
        </w:tc>
        <w:tc>
          <w:tcPr>
            <w:tcW w:w="900" w:type="dxa"/>
            <w:gridSpan w:val="2"/>
            <w:vAlign w:val="center"/>
          </w:tcPr>
          <w:p w14:paraId="649920EE" w14:textId="77777777" w:rsidR="000303DE" w:rsidRPr="0088203A" w:rsidRDefault="000303DE" w:rsidP="00387AD6">
            <w:pPr>
              <w:spacing w:before="0"/>
              <w:ind w:firstLine="30"/>
              <w:jc w:val="center"/>
              <w:rPr>
                <w:sz w:val="20"/>
              </w:rPr>
            </w:pPr>
            <w:r w:rsidRPr="0088203A">
              <w:rPr>
                <w:sz w:val="20"/>
              </w:rPr>
              <w:t>1.0000</w:t>
            </w:r>
          </w:p>
        </w:tc>
        <w:tc>
          <w:tcPr>
            <w:tcW w:w="900" w:type="dxa"/>
            <w:gridSpan w:val="2"/>
            <w:vAlign w:val="center"/>
          </w:tcPr>
          <w:p w14:paraId="6191347C" w14:textId="77777777" w:rsidR="000303DE" w:rsidRPr="0088203A" w:rsidRDefault="000303DE" w:rsidP="00387AD6">
            <w:pPr>
              <w:spacing w:before="0"/>
              <w:ind w:firstLine="5"/>
              <w:jc w:val="center"/>
              <w:rPr>
                <w:sz w:val="20"/>
              </w:rPr>
            </w:pPr>
          </w:p>
        </w:tc>
        <w:tc>
          <w:tcPr>
            <w:tcW w:w="929" w:type="dxa"/>
            <w:gridSpan w:val="2"/>
            <w:vAlign w:val="center"/>
          </w:tcPr>
          <w:p w14:paraId="1A9753B6" w14:textId="77777777" w:rsidR="000303DE" w:rsidRPr="0088203A" w:rsidRDefault="000303DE" w:rsidP="00387AD6">
            <w:pPr>
              <w:spacing w:before="0"/>
              <w:jc w:val="center"/>
              <w:rPr>
                <w:sz w:val="20"/>
              </w:rPr>
            </w:pPr>
          </w:p>
        </w:tc>
        <w:tc>
          <w:tcPr>
            <w:tcW w:w="929" w:type="dxa"/>
            <w:gridSpan w:val="2"/>
            <w:vAlign w:val="center"/>
          </w:tcPr>
          <w:p w14:paraId="3A733EB7" w14:textId="77777777" w:rsidR="000303DE" w:rsidRPr="0088203A" w:rsidRDefault="000303DE" w:rsidP="00387AD6">
            <w:pPr>
              <w:spacing w:before="0"/>
              <w:jc w:val="center"/>
              <w:rPr>
                <w:sz w:val="20"/>
              </w:rPr>
            </w:pPr>
          </w:p>
        </w:tc>
        <w:tc>
          <w:tcPr>
            <w:tcW w:w="932" w:type="dxa"/>
            <w:gridSpan w:val="2"/>
            <w:vAlign w:val="center"/>
          </w:tcPr>
          <w:p w14:paraId="7239C4E6" w14:textId="77777777" w:rsidR="000303DE" w:rsidRPr="0088203A" w:rsidRDefault="000303DE" w:rsidP="00387AD6">
            <w:pPr>
              <w:spacing w:before="0"/>
              <w:jc w:val="center"/>
              <w:rPr>
                <w:sz w:val="20"/>
              </w:rPr>
            </w:pPr>
          </w:p>
        </w:tc>
        <w:tc>
          <w:tcPr>
            <w:tcW w:w="810" w:type="dxa"/>
            <w:gridSpan w:val="2"/>
            <w:vAlign w:val="center"/>
          </w:tcPr>
          <w:p w14:paraId="2D43A444" w14:textId="77777777" w:rsidR="000303DE" w:rsidRPr="0088203A" w:rsidRDefault="000303DE" w:rsidP="00387AD6">
            <w:pPr>
              <w:spacing w:before="0"/>
              <w:jc w:val="center"/>
              <w:rPr>
                <w:sz w:val="20"/>
              </w:rPr>
            </w:pPr>
          </w:p>
        </w:tc>
      </w:tr>
      <w:tr w:rsidR="000303DE" w:rsidRPr="0088203A" w14:paraId="3E54AB49" w14:textId="77777777" w:rsidTr="0088203A">
        <w:trPr>
          <w:gridAfter w:val="1"/>
          <w:wAfter w:w="177" w:type="dxa"/>
          <w:trHeight w:val="317"/>
          <w:jc w:val="center"/>
        </w:trPr>
        <w:tc>
          <w:tcPr>
            <w:tcW w:w="810" w:type="dxa"/>
            <w:vAlign w:val="center"/>
          </w:tcPr>
          <w:p w14:paraId="32042500" w14:textId="77777777" w:rsidR="000303DE" w:rsidRPr="0088203A" w:rsidRDefault="000303DE" w:rsidP="0088203A">
            <w:pPr>
              <w:spacing w:before="0"/>
              <w:ind w:firstLine="0"/>
              <w:rPr>
                <w:sz w:val="20"/>
              </w:rPr>
            </w:pPr>
            <w:r w:rsidRPr="0088203A">
              <w:rPr>
                <w:sz w:val="20"/>
              </w:rPr>
              <w:t>GIN</w:t>
            </w:r>
          </w:p>
        </w:tc>
        <w:tc>
          <w:tcPr>
            <w:tcW w:w="929" w:type="dxa"/>
            <w:gridSpan w:val="2"/>
            <w:vAlign w:val="center"/>
          </w:tcPr>
          <w:p w14:paraId="640C3C00" w14:textId="77777777" w:rsidR="000303DE" w:rsidRPr="0088203A" w:rsidRDefault="000303DE" w:rsidP="00387AD6">
            <w:pPr>
              <w:spacing w:before="0"/>
              <w:ind w:firstLine="0"/>
              <w:jc w:val="center"/>
              <w:rPr>
                <w:sz w:val="20"/>
              </w:rPr>
            </w:pPr>
            <w:r w:rsidRPr="0088203A">
              <w:rPr>
                <w:sz w:val="20"/>
              </w:rPr>
              <w:t>0.1768</w:t>
            </w:r>
          </w:p>
        </w:tc>
        <w:tc>
          <w:tcPr>
            <w:tcW w:w="871" w:type="dxa"/>
            <w:gridSpan w:val="2"/>
            <w:vAlign w:val="center"/>
          </w:tcPr>
          <w:p w14:paraId="4466C562" w14:textId="77777777" w:rsidR="000303DE" w:rsidRPr="0088203A" w:rsidRDefault="000303DE" w:rsidP="00387AD6">
            <w:pPr>
              <w:spacing w:before="0"/>
              <w:ind w:firstLine="0"/>
              <w:jc w:val="center"/>
              <w:rPr>
                <w:sz w:val="20"/>
              </w:rPr>
            </w:pPr>
            <w:r w:rsidRPr="0088203A">
              <w:rPr>
                <w:sz w:val="20"/>
              </w:rPr>
              <w:t>0.1367</w:t>
            </w:r>
          </w:p>
        </w:tc>
        <w:tc>
          <w:tcPr>
            <w:tcW w:w="900" w:type="dxa"/>
            <w:gridSpan w:val="2"/>
            <w:vAlign w:val="center"/>
          </w:tcPr>
          <w:p w14:paraId="35AF2455" w14:textId="77777777" w:rsidR="000303DE" w:rsidRPr="0088203A" w:rsidRDefault="000303DE" w:rsidP="00387AD6">
            <w:pPr>
              <w:spacing w:before="0"/>
              <w:ind w:firstLine="0"/>
              <w:jc w:val="center"/>
              <w:rPr>
                <w:sz w:val="20"/>
              </w:rPr>
            </w:pPr>
            <w:r w:rsidRPr="0088203A">
              <w:rPr>
                <w:sz w:val="20"/>
              </w:rPr>
              <w:t>0.3309</w:t>
            </w:r>
          </w:p>
        </w:tc>
        <w:tc>
          <w:tcPr>
            <w:tcW w:w="900" w:type="dxa"/>
            <w:gridSpan w:val="2"/>
            <w:vAlign w:val="center"/>
          </w:tcPr>
          <w:p w14:paraId="1B11A1A7" w14:textId="77777777" w:rsidR="000303DE" w:rsidRPr="0088203A" w:rsidRDefault="000303DE" w:rsidP="00387AD6">
            <w:pPr>
              <w:spacing w:before="0"/>
              <w:ind w:firstLine="30"/>
              <w:jc w:val="center"/>
              <w:rPr>
                <w:sz w:val="20"/>
              </w:rPr>
            </w:pPr>
            <w:r w:rsidRPr="0088203A">
              <w:rPr>
                <w:sz w:val="20"/>
              </w:rPr>
              <w:t>0.3121</w:t>
            </w:r>
          </w:p>
        </w:tc>
        <w:tc>
          <w:tcPr>
            <w:tcW w:w="900" w:type="dxa"/>
            <w:gridSpan w:val="2"/>
            <w:vAlign w:val="center"/>
          </w:tcPr>
          <w:p w14:paraId="0E73562B" w14:textId="77777777" w:rsidR="000303DE" w:rsidRPr="0088203A" w:rsidRDefault="000303DE" w:rsidP="00387AD6">
            <w:pPr>
              <w:spacing w:before="0"/>
              <w:ind w:firstLine="5"/>
              <w:jc w:val="center"/>
              <w:rPr>
                <w:sz w:val="20"/>
              </w:rPr>
            </w:pPr>
            <w:r w:rsidRPr="0088203A">
              <w:rPr>
                <w:sz w:val="20"/>
              </w:rPr>
              <w:t>1.0000</w:t>
            </w:r>
          </w:p>
        </w:tc>
        <w:tc>
          <w:tcPr>
            <w:tcW w:w="929" w:type="dxa"/>
            <w:gridSpan w:val="2"/>
            <w:vAlign w:val="center"/>
          </w:tcPr>
          <w:p w14:paraId="79BD6292" w14:textId="77777777" w:rsidR="000303DE" w:rsidRPr="0088203A" w:rsidRDefault="000303DE" w:rsidP="00387AD6">
            <w:pPr>
              <w:spacing w:before="0"/>
              <w:jc w:val="center"/>
              <w:rPr>
                <w:sz w:val="20"/>
              </w:rPr>
            </w:pPr>
          </w:p>
        </w:tc>
        <w:tc>
          <w:tcPr>
            <w:tcW w:w="929" w:type="dxa"/>
            <w:gridSpan w:val="2"/>
            <w:vAlign w:val="center"/>
          </w:tcPr>
          <w:p w14:paraId="717B68A8" w14:textId="77777777" w:rsidR="000303DE" w:rsidRPr="0088203A" w:rsidRDefault="000303DE" w:rsidP="00387AD6">
            <w:pPr>
              <w:spacing w:before="0"/>
              <w:jc w:val="center"/>
              <w:rPr>
                <w:sz w:val="20"/>
              </w:rPr>
            </w:pPr>
          </w:p>
        </w:tc>
        <w:tc>
          <w:tcPr>
            <w:tcW w:w="932" w:type="dxa"/>
            <w:gridSpan w:val="2"/>
            <w:vAlign w:val="center"/>
          </w:tcPr>
          <w:p w14:paraId="266AEB58" w14:textId="77777777" w:rsidR="000303DE" w:rsidRPr="0088203A" w:rsidRDefault="000303DE" w:rsidP="00387AD6">
            <w:pPr>
              <w:spacing w:before="0"/>
              <w:jc w:val="center"/>
              <w:rPr>
                <w:sz w:val="20"/>
              </w:rPr>
            </w:pPr>
          </w:p>
        </w:tc>
        <w:tc>
          <w:tcPr>
            <w:tcW w:w="810" w:type="dxa"/>
            <w:gridSpan w:val="2"/>
            <w:vAlign w:val="center"/>
          </w:tcPr>
          <w:p w14:paraId="6ED3619D" w14:textId="77777777" w:rsidR="000303DE" w:rsidRPr="0088203A" w:rsidRDefault="000303DE" w:rsidP="00387AD6">
            <w:pPr>
              <w:spacing w:before="0"/>
              <w:jc w:val="center"/>
              <w:rPr>
                <w:sz w:val="20"/>
              </w:rPr>
            </w:pPr>
          </w:p>
        </w:tc>
      </w:tr>
      <w:tr w:rsidR="000303DE" w:rsidRPr="0088203A" w14:paraId="42A29287" w14:textId="77777777" w:rsidTr="0088203A">
        <w:trPr>
          <w:gridAfter w:val="1"/>
          <w:wAfter w:w="177" w:type="dxa"/>
          <w:trHeight w:val="300"/>
          <w:jc w:val="center"/>
        </w:trPr>
        <w:tc>
          <w:tcPr>
            <w:tcW w:w="810" w:type="dxa"/>
            <w:vAlign w:val="center"/>
          </w:tcPr>
          <w:p w14:paraId="513BF50C" w14:textId="77777777" w:rsidR="000303DE" w:rsidRPr="0088203A" w:rsidRDefault="000303DE" w:rsidP="0088203A">
            <w:pPr>
              <w:spacing w:before="0"/>
              <w:ind w:firstLine="0"/>
              <w:rPr>
                <w:sz w:val="20"/>
              </w:rPr>
            </w:pPr>
            <w:r w:rsidRPr="0088203A">
              <w:rPr>
                <w:sz w:val="20"/>
              </w:rPr>
              <w:t>MESG</w:t>
            </w:r>
          </w:p>
        </w:tc>
        <w:tc>
          <w:tcPr>
            <w:tcW w:w="929" w:type="dxa"/>
            <w:gridSpan w:val="2"/>
            <w:vAlign w:val="center"/>
          </w:tcPr>
          <w:p w14:paraId="0434ABEC" w14:textId="77777777" w:rsidR="000303DE" w:rsidRPr="0088203A" w:rsidRDefault="000303DE" w:rsidP="00387AD6">
            <w:pPr>
              <w:spacing w:before="0"/>
              <w:ind w:firstLine="0"/>
              <w:jc w:val="center"/>
              <w:rPr>
                <w:sz w:val="20"/>
              </w:rPr>
            </w:pPr>
            <w:r w:rsidRPr="0088203A">
              <w:rPr>
                <w:sz w:val="20"/>
              </w:rPr>
              <w:t>-0.0052</w:t>
            </w:r>
          </w:p>
        </w:tc>
        <w:tc>
          <w:tcPr>
            <w:tcW w:w="871" w:type="dxa"/>
            <w:gridSpan w:val="2"/>
            <w:vAlign w:val="center"/>
          </w:tcPr>
          <w:p w14:paraId="73B4390C" w14:textId="77777777" w:rsidR="000303DE" w:rsidRPr="0088203A" w:rsidRDefault="000303DE" w:rsidP="00387AD6">
            <w:pPr>
              <w:spacing w:before="0"/>
              <w:ind w:firstLine="0"/>
              <w:jc w:val="center"/>
              <w:rPr>
                <w:sz w:val="20"/>
              </w:rPr>
            </w:pPr>
            <w:r w:rsidRPr="0088203A">
              <w:rPr>
                <w:sz w:val="20"/>
              </w:rPr>
              <w:t>0.3002</w:t>
            </w:r>
          </w:p>
        </w:tc>
        <w:tc>
          <w:tcPr>
            <w:tcW w:w="900" w:type="dxa"/>
            <w:gridSpan w:val="2"/>
            <w:vAlign w:val="center"/>
          </w:tcPr>
          <w:p w14:paraId="63FD8A07" w14:textId="77777777" w:rsidR="000303DE" w:rsidRPr="0088203A" w:rsidRDefault="000303DE" w:rsidP="00387AD6">
            <w:pPr>
              <w:spacing w:before="0"/>
              <w:ind w:firstLine="0"/>
              <w:jc w:val="center"/>
              <w:rPr>
                <w:sz w:val="20"/>
              </w:rPr>
            </w:pPr>
            <w:r w:rsidRPr="0088203A">
              <w:rPr>
                <w:sz w:val="20"/>
              </w:rPr>
              <w:t>0.7350</w:t>
            </w:r>
          </w:p>
        </w:tc>
        <w:tc>
          <w:tcPr>
            <w:tcW w:w="900" w:type="dxa"/>
            <w:gridSpan w:val="2"/>
            <w:vAlign w:val="center"/>
          </w:tcPr>
          <w:p w14:paraId="10A51460" w14:textId="77777777" w:rsidR="000303DE" w:rsidRPr="0088203A" w:rsidRDefault="000303DE" w:rsidP="00387AD6">
            <w:pPr>
              <w:spacing w:before="0"/>
              <w:ind w:firstLine="30"/>
              <w:jc w:val="center"/>
              <w:rPr>
                <w:sz w:val="20"/>
              </w:rPr>
            </w:pPr>
            <w:r w:rsidRPr="0088203A">
              <w:rPr>
                <w:sz w:val="20"/>
              </w:rPr>
              <w:t>0.5669</w:t>
            </w:r>
          </w:p>
        </w:tc>
        <w:tc>
          <w:tcPr>
            <w:tcW w:w="900" w:type="dxa"/>
            <w:gridSpan w:val="2"/>
            <w:vAlign w:val="center"/>
          </w:tcPr>
          <w:p w14:paraId="280B5495" w14:textId="77777777" w:rsidR="000303DE" w:rsidRPr="0088203A" w:rsidRDefault="000303DE" w:rsidP="00387AD6">
            <w:pPr>
              <w:spacing w:before="0"/>
              <w:ind w:firstLine="5"/>
              <w:jc w:val="center"/>
              <w:rPr>
                <w:sz w:val="20"/>
              </w:rPr>
            </w:pPr>
            <w:r w:rsidRPr="0088203A">
              <w:rPr>
                <w:sz w:val="20"/>
              </w:rPr>
              <w:t>0.8616</w:t>
            </w:r>
          </w:p>
        </w:tc>
        <w:tc>
          <w:tcPr>
            <w:tcW w:w="929" w:type="dxa"/>
            <w:gridSpan w:val="2"/>
            <w:vAlign w:val="center"/>
          </w:tcPr>
          <w:p w14:paraId="55B8AA53" w14:textId="77777777" w:rsidR="000303DE" w:rsidRPr="0088203A" w:rsidRDefault="000303DE" w:rsidP="00387AD6">
            <w:pPr>
              <w:spacing w:before="0"/>
              <w:ind w:firstLine="0"/>
              <w:jc w:val="center"/>
              <w:rPr>
                <w:sz w:val="20"/>
              </w:rPr>
            </w:pPr>
            <w:r w:rsidRPr="0088203A">
              <w:rPr>
                <w:sz w:val="20"/>
              </w:rPr>
              <w:t>1.0000</w:t>
            </w:r>
          </w:p>
        </w:tc>
        <w:tc>
          <w:tcPr>
            <w:tcW w:w="929" w:type="dxa"/>
            <w:gridSpan w:val="2"/>
            <w:vAlign w:val="center"/>
          </w:tcPr>
          <w:p w14:paraId="286B15F5" w14:textId="77777777" w:rsidR="000303DE" w:rsidRPr="0088203A" w:rsidRDefault="000303DE" w:rsidP="00387AD6">
            <w:pPr>
              <w:spacing w:before="0"/>
              <w:ind w:firstLine="0"/>
              <w:jc w:val="center"/>
              <w:rPr>
                <w:sz w:val="20"/>
              </w:rPr>
            </w:pPr>
          </w:p>
        </w:tc>
        <w:tc>
          <w:tcPr>
            <w:tcW w:w="932" w:type="dxa"/>
            <w:gridSpan w:val="2"/>
            <w:vAlign w:val="center"/>
          </w:tcPr>
          <w:p w14:paraId="2F362FBF" w14:textId="77777777" w:rsidR="000303DE" w:rsidRPr="0088203A" w:rsidRDefault="000303DE" w:rsidP="00387AD6">
            <w:pPr>
              <w:spacing w:before="0"/>
              <w:ind w:firstLine="0"/>
              <w:jc w:val="center"/>
              <w:rPr>
                <w:sz w:val="20"/>
              </w:rPr>
            </w:pPr>
          </w:p>
        </w:tc>
        <w:tc>
          <w:tcPr>
            <w:tcW w:w="810" w:type="dxa"/>
            <w:gridSpan w:val="2"/>
            <w:vAlign w:val="center"/>
          </w:tcPr>
          <w:p w14:paraId="4CD280C3" w14:textId="77777777" w:rsidR="000303DE" w:rsidRPr="0088203A" w:rsidRDefault="000303DE" w:rsidP="00387AD6">
            <w:pPr>
              <w:spacing w:before="0"/>
              <w:jc w:val="center"/>
              <w:rPr>
                <w:sz w:val="20"/>
              </w:rPr>
            </w:pPr>
          </w:p>
        </w:tc>
      </w:tr>
      <w:tr w:rsidR="000303DE" w:rsidRPr="0088203A" w14:paraId="384FD3AA" w14:textId="77777777" w:rsidTr="0088203A">
        <w:trPr>
          <w:gridAfter w:val="1"/>
          <w:wAfter w:w="177" w:type="dxa"/>
          <w:trHeight w:val="300"/>
          <w:jc w:val="center"/>
        </w:trPr>
        <w:tc>
          <w:tcPr>
            <w:tcW w:w="810" w:type="dxa"/>
            <w:vAlign w:val="center"/>
          </w:tcPr>
          <w:p w14:paraId="71DC2F24" w14:textId="77777777" w:rsidR="000303DE" w:rsidRPr="0088203A" w:rsidRDefault="000303DE" w:rsidP="0088203A">
            <w:pPr>
              <w:spacing w:before="0"/>
              <w:ind w:firstLine="0"/>
              <w:rPr>
                <w:sz w:val="20"/>
              </w:rPr>
            </w:pPr>
            <w:r w:rsidRPr="0088203A">
              <w:rPr>
                <w:sz w:val="20"/>
              </w:rPr>
              <w:t>MSRI</w:t>
            </w:r>
          </w:p>
        </w:tc>
        <w:tc>
          <w:tcPr>
            <w:tcW w:w="929" w:type="dxa"/>
            <w:gridSpan w:val="2"/>
            <w:vAlign w:val="center"/>
          </w:tcPr>
          <w:p w14:paraId="270959B6" w14:textId="77777777" w:rsidR="000303DE" w:rsidRPr="0088203A" w:rsidRDefault="000303DE" w:rsidP="00387AD6">
            <w:pPr>
              <w:spacing w:before="0"/>
              <w:ind w:firstLine="0"/>
              <w:jc w:val="center"/>
              <w:rPr>
                <w:sz w:val="20"/>
              </w:rPr>
            </w:pPr>
            <w:r w:rsidRPr="0088203A">
              <w:rPr>
                <w:sz w:val="20"/>
              </w:rPr>
              <w:t>-0.0582</w:t>
            </w:r>
          </w:p>
        </w:tc>
        <w:tc>
          <w:tcPr>
            <w:tcW w:w="871" w:type="dxa"/>
            <w:gridSpan w:val="2"/>
            <w:vAlign w:val="center"/>
          </w:tcPr>
          <w:p w14:paraId="2CC368AB" w14:textId="77777777" w:rsidR="000303DE" w:rsidRPr="0088203A" w:rsidRDefault="000303DE" w:rsidP="00387AD6">
            <w:pPr>
              <w:spacing w:before="0"/>
              <w:ind w:firstLine="0"/>
              <w:jc w:val="center"/>
              <w:rPr>
                <w:sz w:val="20"/>
              </w:rPr>
            </w:pPr>
            <w:r w:rsidRPr="0088203A">
              <w:rPr>
                <w:sz w:val="20"/>
              </w:rPr>
              <w:t>0.3068</w:t>
            </w:r>
          </w:p>
        </w:tc>
        <w:tc>
          <w:tcPr>
            <w:tcW w:w="900" w:type="dxa"/>
            <w:gridSpan w:val="2"/>
            <w:vAlign w:val="center"/>
          </w:tcPr>
          <w:p w14:paraId="5F9341E2" w14:textId="77777777" w:rsidR="000303DE" w:rsidRPr="0088203A" w:rsidRDefault="000303DE" w:rsidP="00387AD6">
            <w:pPr>
              <w:spacing w:before="0"/>
              <w:ind w:firstLine="0"/>
              <w:jc w:val="center"/>
              <w:rPr>
                <w:sz w:val="20"/>
              </w:rPr>
            </w:pPr>
            <w:r w:rsidRPr="0088203A">
              <w:rPr>
                <w:sz w:val="20"/>
              </w:rPr>
              <w:t>0.6394</w:t>
            </w:r>
          </w:p>
        </w:tc>
        <w:tc>
          <w:tcPr>
            <w:tcW w:w="900" w:type="dxa"/>
            <w:gridSpan w:val="2"/>
            <w:vAlign w:val="center"/>
          </w:tcPr>
          <w:p w14:paraId="2F536C2B" w14:textId="77777777" w:rsidR="000303DE" w:rsidRPr="0088203A" w:rsidRDefault="000303DE" w:rsidP="00387AD6">
            <w:pPr>
              <w:spacing w:before="0"/>
              <w:ind w:firstLine="30"/>
              <w:jc w:val="center"/>
              <w:rPr>
                <w:sz w:val="20"/>
              </w:rPr>
            </w:pPr>
            <w:r w:rsidRPr="0088203A">
              <w:rPr>
                <w:sz w:val="20"/>
              </w:rPr>
              <w:t>0.7519</w:t>
            </w:r>
          </w:p>
        </w:tc>
        <w:tc>
          <w:tcPr>
            <w:tcW w:w="900" w:type="dxa"/>
            <w:gridSpan w:val="2"/>
            <w:vAlign w:val="center"/>
          </w:tcPr>
          <w:p w14:paraId="2E698B22" w14:textId="77777777" w:rsidR="000303DE" w:rsidRPr="0088203A" w:rsidRDefault="000303DE" w:rsidP="00387AD6">
            <w:pPr>
              <w:spacing w:before="0"/>
              <w:ind w:firstLine="5"/>
              <w:jc w:val="center"/>
              <w:rPr>
                <w:sz w:val="20"/>
              </w:rPr>
            </w:pPr>
            <w:r w:rsidRPr="0088203A">
              <w:rPr>
                <w:sz w:val="20"/>
              </w:rPr>
              <w:t>0.8297</w:t>
            </w:r>
          </w:p>
        </w:tc>
        <w:tc>
          <w:tcPr>
            <w:tcW w:w="929" w:type="dxa"/>
            <w:gridSpan w:val="2"/>
            <w:vAlign w:val="center"/>
          </w:tcPr>
          <w:p w14:paraId="220B6534" w14:textId="77777777" w:rsidR="000303DE" w:rsidRPr="0088203A" w:rsidRDefault="000303DE" w:rsidP="00387AD6">
            <w:pPr>
              <w:spacing w:before="0"/>
              <w:ind w:firstLine="0"/>
              <w:jc w:val="center"/>
              <w:rPr>
                <w:sz w:val="20"/>
              </w:rPr>
            </w:pPr>
            <w:r w:rsidRPr="0088203A">
              <w:rPr>
                <w:sz w:val="20"/>
              </w:rPr>
              <w:t>0.9169</w:t>
            </w:r>
          </w:p>
        </w:tc>
        <w:tc>
          <w:tcPr>
            <w:tcW w:w="929" w:type="dxa"/>
            <w:gridSpan w:val="2"/>
            <w:vAlign w:val="center"/>
          </w:tcPr>
          <w:p w14:paraId="2A364B2B" w14:textId="77777777" w:rsidR="000303DE" w:rsidRPr="0088203A" w:rsidRDefault="000303DE" w:rsidP="00387AD6">
            <w:pPr>
              <w:spacing w:before="0"/>
              <w:ind w:firstLine="0"/>
              <w:jc w:val="center"/>
              <w:rPr>
                <w:sz w:val="20"/>
              </w:rPr>
            </w:pPr>
            <w:r w:rsidRPr="0088203A">
              <w:rPr>
                <w:sz w:val="20"/>
              </w:rPr>
              <w:t>1.0000</w:t>
            </w:r>
          </w:p>
        </w:tc>
        <w:tc>
          <w:tcPr>
            <w:tcW w:w="932" w:type="dxa"/>
            <w:gridSpan w:val="2"/>
            <w:vAlign w:val="center"/>
          </w:tcPr>
          <w:p w14:paraId="7FEE6AD6" w14:textId="77777777" w:rsidR="000303DE" w:rsidRPr="0088203A" w:rsidRDefault="000303DE" w:rsidP="00387AD6">
            <w:pPr>
              <w:spacing w:before="0"/>
              <w:ind w:firstLine="0"/>
              <w:jc w:val="center"/>
              <w:rPr>
                <w:sz w:val="20"/>
              </w:rPr>
            </w:pPr>
          </w:p>
        </w:tc>
        <w:tc>
          <w:tcPr>
            <w:tcW w:w="810" w:type="dxa"/>
            <w:gridSpan w:val="2"/>
            <w:vAlign w:val="center"/>
          </w:tcPr>
          <w:p w14:paraId="7885991D" w14:textId="77777777" w:rsidR="000303DE" w:rsidRPr="0088203A" w:rsidRDefault="000303DE" w:rsidP="00387AD6">
            <w:pPr>
              <w:spacing w:before="0"/>
              <w:jc w:val="center"/>
              <w:rPr>
                <w:sz w:val="20"/>
              </w:rPr>
            </w:pPr>
          </w:p>
        </w:tc>
      </w:tr>
      <w:tr w:rsidR="000303DE" w:rsidRPr="0088203A" w14:paraId="18401523" w14:textId="77777777" w:rsidTr="0088203A">
        <w:trPr>
          <w:gridAfter w:val="1"/>
          <w:wAfter w:w="177" w:type="dxa"/>
          <w:trHeight w:val="317"/>
          <w:jc w:val="center"/>
        </w:trPr>
        <w:tc>
          <w:tcPr>
            <w:tcW w:w="810" w:type="dxa"/>
            <w:vAlign w:val="center"/>
          </w:tcPr>
          <w:p w14:paraId="6977EA69" w14:textId="77777777" w:rsidR="000303DE" w:rsidRPr="0088203A" w:rsidRDefault="000303DE" w:rsidP="0088203A">
            <w:pPr>
              <w:spacing w:before="0"/>
              <w:ind w:firstLine="0"/>
              <w:rPr>
                <w:sz w:val="20"/>
              </w:rPr>
            </w:pPr>
            <w:r w:rsidRPr="0088203A">
              <w:rPr>
                <w:sz w:val="20"/>
              </w:rPr>
              <w:t>Size</w:t>
            </w:r>
          </w:p>
        </w:tc>
        <w:tc>
          <w:tcPr>
            <w:tcW w:w="929" w:type="dxa"/>
            <w:gridSpan w:val="2"/>
            <w:vAlign w:val="center"/>
          </w:tcPr>
          <w:p w14:paraId="3868AD30" w14:textId="77777777" w:rsidR="000303DE" w:rsidRPr="0088203A" w:rsidRDefault="000303DE" w:rsidP="00387AD6">
            <w:pPr>
              <w:spacing w:before="0"/>
              <w:ind w:firstLine="0"/>
              <w:jc w:val="center"/>
              <w:rPr>
                <w:sz w:val="20"/>
              </w:rPr>
            </w:pPr>
            <w:r w:rsidRPr="0088203A">
              <w:rPr>
                <w:sz w:val="20"/>
              </w:rPr>
              <w:t>-0.0334</w:t>
            </w:r>
          </w:p>
        </w:tc>
        <w:tc>
          <w:tcPr>
            <w:tcW w:w="871" w:type="dxa"/>
            <w:gridSpan w:val="2"/>
            <w:vAlign w:val="center"/>
          </w:tcPr>
          <w:p w14:paraId="22C8EB9F" w14:textId="77777777" w:rsidR="000303DE" w:rsidRPr="0088203A" w:rsidRDefault="000303DE" w:rsidP="00387AD6">
            <w:pPr>
              <w:spacing w:before="0"/>
              <w:ind w:firstLine="0"/>
              <w:jc w:val="center"/>
              <w:rPr>
                <w:sz w:val="20"/>
              </w:rPr>
            </w:pPr>
            <w:r w:rsidRPr="0088203A">
              <w:rPr>
                <w:sz w:val="20"/>
              </w:rPr>
              <w:t>0.0629</w:t>
            </w:r>
          </w:p>
        </w:tc>
        <w:tc>
          <w:tcPr>
            <w:tcW w:w="900" w:type="dxa"/>
            <w:gridSpan w:val="2"/>
            <w:vAlign w:val="center"/>
          </w:tcPr>
          <w:p w14:paraId="1103FCCB" w14:textId="77777777" w:rsidR="000303DE" w:rsidRPr="0088203A" w:rsidRDefault="000303DE" w:rsidP="00387AD6">
            <w:pPr>
              <w:spacing w:before="0"/>
              <w:ind w:firstLine="0"/>
              <w:jc w:val="center"/>
              <w:rPr>
                <w:sz w:val="20"/>
              </w:rPr>
            </w:pPr>
            <w:r w:rsidRPr="0088203A">
              <w:rPr>
                <w:sz w:val="20"/>
              </w:rPr>
              <w:t>-0.0998</w:t>
            </w:r>
          </w:p>
        </w:tc>
        <w:tc>
          <w:tcPr>
            <w:tcW w:w="900" w:type="dxa"/>
            <w:gridSpan w:val="2"/>
            <w:vAlign w:val="center"/>
          </w:tcPr>
          <w:p w14:paraId="6105BCE7" w14:textId="77777777" w:rsidR="000303DE" w:rsidRPr="0088203A" w:rsidRDefault="000303DE" w:rsidP="00387AD6">
            <w:pPr>
              <w:spacing w:before="0"/>
              <w:ind w:firstLine="30"/>
              <w:jc w:val="center"/>
              <w:rPr>
                <w:sz w:val="20"/>
              </w:rPr>
            </w:pPr>
            <w:r w:rsidRPr="0088203A">
              <w:rPr>
                <w:sz w:val="20"/>
              </w:rPr>
              <w:t>0.0240</w:t>
            </w:r>
          </w:p>
        </w:tc>
        <w:tc>
          <w:tcPr>
            <w:tcW w:w="900" w:type="dxa"/>
            <w:gridSpan w:val="2"/>
            <w:vAlign w:val="center"/>
          </w:tcPr>
          <w:p w14:paraId="342CDCDC" w14:textId="77777777" w:rsidR="000303DE" w:rsidRPr="0088203A" w:rsidRDefault="000303DE" w:rsidP="00387AD6">
            <w:pPr>
              <w:spacing w:before="0"/>
              <w:ind w:firstLine="0"/>
              <w:jc w:val="center"/>
              <w:rPr>
                <w:sz w:val="20"/>
              </w:rPr>
            </w:pPr>
            <w:r w:rsidRPr="0088203A">
              <w:rPr>
                <w:sz w:val="20"/>
              </w:rPr>
              <w:t>0.0627</w:t>
            </w:r>
          </w:p>
        </w:tc>
        <w:tc>
          <w:tcPr>
            <w:tcW w:w="929" w:type="dxa"/>
            <w:gridSpan w:val="2"/>
            <w:vAlign w:val="center"/>
          </w:tcPr>
          <w:p w14:paraId="3821AFD3" w14:textId="77777777" w:rsidR="000303DE" w:rsidRPr="0088203A" w:rsidRDefault="000303DE" w:rsidP="00387AD6">
            <w:pPr>
              <w:spacing w:before="0"/>
              <w:ind w:firstLine="0"/>
              <w:jc w:val="center"/>
              <w:rPr>
                <w:sz w:val="20"/>
              </w:rPr>
            </w:pPr>
            <w:r w:rsidRPr="0088203A">
              <w:rPr>
                <w:sz w:val="20"/>
              </w:rPr>
              <w:t>-0.0521</w:t>
            </w:r>
          </w:p>
        </w:tc>
        <w:tc>
          <w:tcPr>
            <w:tcW w:w="929" w:type="dxa"/>
            <w:gridSpan w:val="2"/>
            <w:vAlign w:val="center"/>
          </w:tcPr>
          <w:p w14:paraId="7F630B90" w14:textId="77777777" w:rsidR="000303DE" w:rsidRPr="0088203A" w:rsidRDefault="000303DE" w:rsidP="00387AD6">
            <w:pPr>
              <w:spacing w:before="0"/>
              <w:ind w:firstLine="0"/>
              <w:jc w:val="center"/>
              <w:rPr>
                <w:sz w:val="20"/>
              </w:rPr>
            </w:pPr>
            <w:r w:rsidRPr="0088203A">
              <w:rPr>
                <w:sz w:val="20"/>
              </w:rPr>
              <w:t>-0.0000</w:t>
            </w:r>
          </w:p>
        </w:tc>
        <w:tc>
          <w:tcPr>
            <w:tcW w:w="932" w:type="dxa"/>
            <w:gridSpan w:val="2"/>
            <w:vAlign w:val="center"/>
          </w:tcPr>
          <w:p w14:paraId="15BF9252" w14:textId="77777777" w:rsidR="000303DE" w:rsidRPr="0088203A" w:rsidRDefault="000303DE" w:rsidP="00387AD6">
            <w:pPr>
              <w:spacing w:before="0"/>
              <w:ind w:firstLine="0"/>
              <w:jc w:val="center"/>
              <w:rPr>
                <w:sz w:val="20"/>
              </w:rPr>
            </w:pPr>
            <w:r w:rsidRPr="0088203A">
              <w:rPr>
                <w:sz w:val="20"/>
              </w:rPr>
              <w:t>1.0000</w:t>
            </w:r>
          </w:p>
        </w:tc>
        <w:tc>
          <w:tcPr>
            <w:tcW w:w="810" w:type="dxa"/>
            <w:gridSpan w:val="2"/>
            <w:vAlign w:val="center"/>
          </w:tcPr>
          <w:p w14:paraId="715D02C4" w14:textId="77777777" w:rsidR="000303DE" w:rsidRPr="0088203A" w:rsidRDefault="000303DE" w:rsidP="00387AD6">
            <w:pPr>
              <w:spacing w:before="0"/>
              <w:jc w:val="center"/>
              <w:rPr>
                <w:sz w:val="20"/>
              </w:rPr>
            </w:pPr>
          </w:p>
        </w:tc>
      </w:tr>
      <w:tr w:rsidR="000303DE" w:rsidRPr="0088203A" w14:paraId="2D28B9C7" w14:textId="77777777" w:rsidTr="0088203A">
        <w:trPr>
          <w:gridAfter w:val="1"/>
          <w:wAfter w:w="177" w:type="dxa"/>
          <w:trHeight w:val="233"/>
          <w:jc w:val="center"/>
        </w:trPr>
        <w:tc>
          <w:tcPr>
            <w:tcW w:w="810" w:type="dxa"/>
            <w:tcBorders>
              <w:bottom w:val="single" w:sz="4" w:space="0" w:color="auto"/>
            </w:tcBorders>
            <w:vAlign w:val="center"/>
          </w:tcPr>
          <w:p w14:paraId="6D77A3F9" w14:textId="77777777" w:rsidR="000303DE" w:rsidRPr="0088203A" w:rsidRDefault="000303DE" w:rsidP="0088203A">
            <w:pPr>
              <w:spacing w:before="0"/>
              <w:ind w:firstLine="0"/>
              <w:rPr>
                <w:sz w:val="20"/>
              </w:rPr>
            </w:pPr>
            <w:r w:rsidRPr="0088203A">
              <w:rPr>
                <w:sz w:val="20"/>
              </w:rPr>
              <w:t>FVL</w:t>
            </w:r>
          </w:p>
        </w:tc>
        <w:tc>
          <w:tcPr>
            <w:tcW w:w="929" w:type="dxa"/>
            <w:gridSpan w:val="2"/>
            <w:tcBorders>
              <w:bottom w:val="single" w:sz="4" w:space="0" w:color="auto"/>
            </w:tcBorders>
            <w:vAlign w:val="center"/>
          </w:tcPr>
          <w:p w14:paraId="21DA7381" w14:textId="77777777" w:rsidR="000303DE" w:rsidRPr="0088203A" w:rsidRDefault="000303DE" w:rsidP="00387AD6">
            <w:pPr>
              <w:spacing w:before="0"/>
              <w:ind w:firstLine="0"/>
              <w:jc w:val="center"/>
              <w:rPr>
                <w:sz w:val="20"/>
              </w:rPr>
            </w:pPr>
            <w:r w:rsidRPr="0088203A">
              <w:rPr>
                <w:sz w:val="20"/>
              </w:rPr>
              <w:t>-0.2818</w:t>
            </w:r>
          </w:p>
        </w:tc>
        <w:tc>
          <w:tcPr>
            <w:tcW w:w="871" w:type="dxa"/>
            <w:gridSpan w:val="2"/>
            <w:tcBorders>
              <w:bottom w:val="single" w:sz="4" w:space="0" w:color="auto"/>
            </w:tcBorders>
            <w:vAlign w:val="center"/>
          </w:tcPr>
          <w:p w14:paraId="548DF301" w14:textId="77777777" w:rsidR="000303DE" w:rsidRPr="0088203A" w:rsidRDefault="000303DE" w:rsidP="00387AD6">
            <w:pPr>
              <w:spacing w:before="0"/>
              <w:ind w:firstLine="0"/>
              <w:jc w:val="center"/>
              <w:rPr>
                <w:sz w:val="20"/>
              </w:rPr>
            </w:pPr>
            <w:r w:rsidRPr="0088203A">
              <w:rPr>
                <w:sz w:val="20"/>
              </w:rPr>
              <w:t>-0.0598</w:t>
            </w:r>
          </w:p>
        </w:tc>
        <w:tc>
          <w:tcPr>
            <w:tcW w:w="900" w:type="dxa"/>
            <w:gridSpan w:val="2"/>
            <w:tcBorders>
              <w:bottom w:val="single" w:sz="4" w:space="0" w:color="auto"/>
            </w:tcBorders>
            <w:vAlign w:val="center"/>
          </w:tcPr>
          <w:p w14:paraId="64B050B7" w14:textId="77777777" w:rsidR="000303DE" w:rsidRPr="0088203A" w:rsidRDefault="000303DE" w:rsidP="00387AD6">
            <w:pPr>
              <w:spacing w:before="0"/>
              <w:ind w:firstLine="0"/>
              <w:jc w:val="center"/>
              <w:rPr>
                <w:sz w:val="20"/>
              </w:rPr>
            </w:pPr>
            <w:r w:rsidRPr="0088203A">
              <w:rPr>
                <w:sz w:val="20"/>
              </w:rPr>
              <w:t>0.3720</w:t>
            </w:r>
          </w:p>
        </w:tc>
        <w:tc>
          <w:tcPr>
            <w:tcW w:w="900" w:type="dxa"/>
            <w:gridSpan w:val="2"/>
            <w:tcBorders>
              <w:bottom w:val="single" w:sz="4" w:space="0" w:color="auto"/>
            </w:tcBorders>
            <w:vAlign w:val="center"/>
          </w:tcPr>
          <w:p w14:paraId="5B157723" w14:textId="77777777" w:rsidR="000303DE" w:rsidRPr="0088203A" w:rsidRDefault="000303DE" w:rsidP="00387AD6">
            <w:pPr>
              <w:spacing w:before="0"/>
              <w:ind w:firstLine="30"/>
              <w:jc w:val="center"/>
              <w:rPr>
                <w:sz w:val="20"/>
              </w:rPr>
            </w:pPr>
            <w:r w:rsidRPr="0088203A">
              <w:rPr>
                <w:sz w:val="20"/>
              </w:rPr>
              <w:t>0.2494</w:t>
            </w:r>
          </w:p>
        </w:tc>
        <w:tc>
          <w:tcPr>
            <w:tcW w:w="900" w:type="dxa"/>
            <w:gridSpan w:val="2"/>
            <w:tcBorders>
              <w:bottom w:val="single" w:sz="4" w:space="0" w:color="auto"/>
            </w:tcBorders>
            <w:vAlign w:val="center"/>
          </w:tcPr>
          <w:p w14:paraId="618860D0" w14:textId="77777777" w:rsidR="000303DE" w:rsidRPr="0088203A" w:rsidRDefault="000303DE" w:rsidP="00387AD6">
            <w:pPr>
              <w:spacing w:before="0"/>
              <w:ind w:firstLine="0"/>
              <w:jc w:val="center"/>
              <w:rPr>
                <w:sz w:val="20"/>
              </w:rPr>
            </w:pPr>
            <w:r w:rsidRPr="0088203A">
              <w:rPr>
                <w:sz w:val="20"/>
              </w:rPr>
              <w:t>0.3065</w:t>
            </w:r>
          </w:p>
        </w:tc>
        <w:tc>
          <w:tcPr>
            <w:tcW w:w="929" w:type="dxa"/>
            <w:gridSpan w:val="2"/>
            <w:tcBorders>
              <w:bottom w:val="single" w:sz="4" w:space="0" w:color="auto"/>
            </w:tcBorders>
            <w:vAlign w:val="center"/>
          </w:tcPr>
          <w:p w14:paraId="47F7095E" w14:textId="77777777" w:rsidR="000303DE" w:rsidRPr="0088203A" w:rsidRDefault="000303DE" w:rsidP="00387AD6">
            <w:pPr>
              <w:spacing w:before="0"/>
              <w:ind w:firstLine="0"/>
              <w:jc w:val="center"/>
              <w:rPr>
                <w:sz w:val="20"/>
              </w:rPr>
            </w:pPr>
            <w:r w:rsidRPr="0088203A">
              <w:rPr>
                <w:sz w:val="20"/>
              </w:rPr>
              <w:t>0.4904</w:t>
            </w:r>
          </w:p>
        </w:tc>
        <w:tc>
          <w:tcPr>
            <w:tcW w:w="929" w:type="dxa"/>
            <w:gridSpan w:val="2"/>
            <w:tcBorders>
              <w:bottom w:val="single" w:sz="4" w:space="0" w:color="auto"/>
            </w:tcBorders>
            <w:vAlign w:val="center"/>
          </w:tcPr>
          <w:p w14:paraId="6B2F3403" w14:textId="77777777" w:rsidR="000303DE" w:rsidRPr="0088203A" w:rsidRDefault="000303DE" w:rsidP="00387AD6">
            <w:pPr>
              <w:spacing w:before="0"/>
              <w:ind w:firstLine="0"/>
              <w:jc w:val="center"/>
              <w:rPr>
                <w:sz w:val="20"/>
              </w:rPr>
            </w:pPr>
            <w:r w:rsidRPr="0088203A">
              <w:rPr>
                <w:sz w:val="20"/>
              </w:rPr>
              <w:t>0.4265</w:t>
            </w:r>
          </w:p>
        </w:tc>
        <w:tc>
          <w:tcPr>
            <w:tcW w:w="932" w:type="dxa"/>
            <w:gridSpan w:val="2"/>
            <w:tcBorders>
              <w:bottom w:val="single" w:sz="4" w:space="0" w:color="auto"/>
            </w:tcBorders>
            <w:vAlign w:val="center"/>
          </w:tcPr>
          <w:p w14:paraId="0CEB4144" w14:textId="77777777" w:rsidR="000303DE" w:rsidRPr="0088203A" w:rsidRDefault="000303DE" w:rsidP="00387AD6">
            <w:pPr>
              <w:spacing w:before="0"/>
              <w:ind w:firstLine="0"/>
              <w:jc w:val="center"/>
              <w:rPr>
                <w:sz w:val="20"/>
              </w:rPr>
            </w:pPr>
            <w:r w:rsidRPr="0088203A">
              <w:rPr>
                <w:sz w:val="20"/>
              </w:rPr>
              <w:t>-0.3731</w:t>
            </w:r>
          </w:p>
        </w:tc>
        <w:tc>
          <w:tcPr>
            <w:tcW w:w="810" w:type="dxa"/>
            <w:gridSpan w:val="2"/>
            <w:tcBorders>
              <w:bottom w:val="single" w:sz="4" w:space="0" w:color="auto"/>
            </w:tcBorders>
            <w:vAlign w:val="center"/>
          </w:tcPr>
          <w:p w14:paraId="38339004" w14:textId="3BA8D244" w:rsidR="000303DE" w:rsidRPr="0088203A" w:rsidRDefault="000303DE" w:rsidP="00387AD6">
            <w:pPr>
              <w:spacing w:before="0"/>
              <w:ind w:firstLine="0"/>
              <w:rPr>
                <w:sz w:val="20"/>
              </w:rPr>
            </w:pPr>
            <w:r w:rsidRPr="0088203A">
              <w:rPr>
                <w:sz w:val="20"/>
              </w:rPr>
              <w:t>1.0000</w:t>
            </w:r>
          </w:p>
        </w:tc>
      </w:tr>
      <w:tr w:rsidR="000303DE" w:rsidRPr="0088203A" w14:paraId="5A0AB9A5" w14:textId="77777777" w:rsidTr="0088203A">
        <w:trPr>
          <w:trHeight w:val="233"/>
          <w:jc w:val="center"/>
        </w:trPr>
        <w:tc>
          <w:tcPr>
            <w:tcW w:w="9087" w:type="dxa"/>
            <w:gridSpan w:val="20"/>
            <w:tcBorders>
              <w:top w:val="single" w:sz="4" w:space="0" w:color="auto"/>
              <w:bottom w:val="single" w:sz="4" w:space="0" w:color="auto"/>
            </w:tcBorders>
            <w:vAlign w:val="center"/>
          </w:tcPr>
          <w:p w14:paraId="0E6BD658" w14:textId="77777777" w:rsidR="000303DE" w:rsidRPr="0088203A" w:rsidRDefault="000303DE" w:rsidP="00387AD6">
            <w:pPr>
              <w:spacing w:before="0"/>
              <w:rPr>
                <w:sz w:val="20"/>
              </w:rPr>
            </w:pPr>
            <w:r w:rsidRPr="0088203A">
              <w:rPr>
                <w:sz w:val="20"/>
              </w:rPr>
              <w:t>*Refer to Table 1 for the notation of variables</w:t>
            </w:r>
          </w:p>
        </w:tc>
      </w:tr>
    </w:tbl>
    <w:p w14:paraId="6880DA50" w14:textId="77777777" w:rsidR="000303DE" w:rsidRPr="0088203A" w:rsidRDefault="000303DE" w:rsidP="000303DE">
      <w:pPr>
        <w:ind w:firstLine="0"/>
        <w:rPr>
          <w:i/>
          <w:iCs/>
          <w:sz w:val="20"/>
        </w:rPr>
      </w:pPr>
      <w:r w:rsidRPr="0088203A">
        <w:rPr>
          <w:i/>
          <w:iCs/>
          <w:sz w:val="20"/>
        </w:rPr>
        <w:t xml:space="preserve">Source: Stata 19 data output </w:t>
      </w:r>
    </w:p>
    <w:p w14:paraId="32441411" w14:textId="77777777" w:rsidR="000303DE" w:rsidRPr="0088203A" w:rsidRDefault="000303DE" w:rsidP="000303DE"/>
    <w:p w14:paraId="08B0C729" w14:textId="77777777" w:rsidR="0088203A" w:rsidRDefault="0088203A" w:rsidP="000303DE">
      <w:pPr>
        <w:spacing w:after="200" w:line="276" w:lineRule="auto"/>
        <w:ind w:firstLine="720"/>
        <w:rPr>
          <w:sz w:val="22"/>
          <w:szCs w:val="22"/>
        </w:rPr>
        <w:sectPr w:rsidR="0088203A" w:rsidSect="0088203A">
          <w:type w:val="continuous"/>
          <w:pgSz w:w="11907" w:h="16840" w:code="9"/>
          <w:pgMar w:top="2268" w:right="1701" w:bottom="1701" w:left="2268" w:header="454" w:footer="567" w:gutter="0"/>
          <w:pgNumType w:start="27"/>
          <w:cols w:space="709"/>
          <w:docGrid w:linePitch="326"/>
        </w:sectPr>
      </w:pPr>
    </w:p>
    <w:p w14:paraId="78C2A451" w14:textId="77777777" w:rsidR="000303DE" w:rsidRPr="0088203A" w:rsidRDefault="000303DE" w:rsidP="000303DE">
      <w:pPr>
        <w:spacing w:after="200" w:line="276" w:lineRule="auto"/>
        <w:ind w:firstLine="720"/>
        <w:rPr>
          <w:sz w:val="22"/>
          <w:szCs w:val="22"/>
        </w:rPr>
      </w:pPr>
      <w:r w:rsidRPr="0088203A">
        <w:rPr>
          <w:sz w:val="22"/>
          <w:szCs w:val="22"/>
        </w:rPr>
        <w:t xml:space="preserve">Table 2 presents the correlation matrix among the research variables. Firm value (FVL) shows positive correlations with ESG, SRI, GIN, MESG, and MSRI, indicating that higher sustainability performance, socially </w:t>
      </w:r>
      <w:r w:rsidRPr="0088203A">
        <w:rPr>
          <w:sz w:val="22"/>
          <w:szCs w:val="22"/>
        </w:rPr>
        <w:t xml:space="preserve">responsible investment, green innovation, and their interaction terms tend to be associated with higher firm value. The strongest positive correlations with FVL are found in MESG (0.4904), MSRI (0.4265), and ESG (0.3720), suggesting that the interaction between </w:t>
      </w:r>
      <w:r w:rsidRPr="0088203A">
        <w:rPr>
          <w:sz w:val="22"/>
          <w:szCs w:val="22"/>
        </w:rPr>
        <w:lastRenderedPageBreak/>
        <w:t xml:space="preserve">green innovation and sustainability-related variables may be relevant in explaining firm value. In contrast, firm size has a negative correlation with FVL (-0.3731), indicating that larger firms in the sample do not necessarily have higher firm value. Several interaction variables also show high correlations, such as MESG with MSRI (0.9169) and GIN with MESG (0.8616). This is reasonable because MESG and MSRI are formed </w:t>
      </w:r>
      <w:r w:rsidRPr="0088203A">
        <w:rPr>
          <w:sz w:val="22"/>
          <w:szCs w:val="22"/>
        </w:rPr>
        <w:t xml:space="preserve">from multiplication between green innovation and the main independent variables. Several variables, which signifies non-normal, heavy-tailed distributions, this study employs a bootstrap methodology, a well-established technique for obtaining reliable parameter estimates and valid inference under such conditions </w:t>
      </w:r>
      <w:r w:rsidRPr="0088203A">
        <w:rPr>
          <w:sz w:val="22"/>
          <w:szCs w:val="22"/>
        </w:rPr>
        <w:fldChar w:fldCharType="begin" w:fldLock="1"/>
      </w:r>
      <w:r w:rsidRPr="0088203A">
        <w:rPr>
          <w:sz w:val="22"/>
          <w:szCs w:val="22"/>
        </w:rPr>
        <w:instrText>ADDIN CSL_CITATION {"citationItems":[{"id":"ITEM-1","itemData":{"ISSN":"0307-904X","author":[{"dropping-particle":"","family":"Lu","given":"Kang-Ping","non-dropping-particle":"","parse-names":false,"suffix":""},{"dropping-particle":"","family":"Chang","given":"Shao-Tung","non-dropping-particle":"","parse-names":false,"suffix":""}],"container-title":"Applied Mathematical Modelling","id":"ITEM-1","issued":{"date-parts":[["2020"]]},"page":"1643-1661","publisher":"Elsevier","title":"Robust algorithms for multiphase regression models","type":"article-journal","volume":"77"},"uris":["http://www.mendeley.com/documents/?uuid=f6510796-9c8b-458d-b5e4-f1c6479c180c","http://www.mendeley.com/documents/?uuid=ea111385-118a-41b6-a9db-4d4d0b026268"]},{"id":"ITEM-2","itemData":{"ISSN":"1094-4281","author":[{"dropping-particle":"","family":"Alfons","given":"Andreas","non-dropping-particle":"","parse-names":false,"suffix":""},{"dropping-particle":"","family":"Ateş","given":"Nüfer Yasin","non-dropping-particle":"","parse-names":false,"suffix":""},{"dropping-particle":"","family":"Groenen","given":"Patrick J F","non-dropping-particle":"","parse-names":false,"suffix":""}],"container-title":"Organizational Research Methods","id":"ITEM-2","issue":"3","issued":{"date-parts":[["2022"]]},"page":"591-617","publisher":"Sage Publications Sage CA: Los Angeles, CA","title":"A robust bootstrap test for mediation analysis","type":"article-journal","volume":"25"},"uris":["http://www.mendeley.com/documents/?uuid=29f33fb0-4957-45bf-a367-e6a5541295ce","http://www.mendeley.com/documents/?uuid=2c2608c8-5cb9-419c-81c1-cd588ff02376"]},{"id":"ITEM-3","itemData":{"ISSN":"2071-8330","author":[{"dropping-particle":"","family":"Saminem","given":"Saminem","non-dropping-particle":"","parse-names":false,"suffix":""},{"dropping-particle":"","family":"Sulaiman","given":"Suzana","non-dropping-particle":"","parse-names":false,"suffix":""},{"dropping-particle":"","family":"Mohamad","given":"Maslinawati","non-dropping-particle":"","parse-names":false,"suffix":""}],"container-title":"Journal of International Studies","id":"ITEM-3","issue":"4","issued":{"date-parts":[["2024"]]},"publisher":"Centre of Sociological Research/Tsentr Sotsiolohichnykh Doslidzhen","title":"The role of stock price in the linkage within integrated reporting and firm value: A comparative study in Indonesia","type":"article-journal","volume":"17"},"uris":["http://www.mendeley.com/documents/?uuid=78a2c180-5d4d-41da-9c49-7e4f7740750b"]}],"mendeley":{"formattedCitation":"(Alfons et al., 2022; K.-P. Lu &amp; Chang, 2020; Saminem et al., 2024)","manualFormatting":"(Alfons et al., 2022; Lu &amp; Chang, 2020; Saminem et al., 2024)","plainTextFormattedCitation":"(Alfons et al., 2022; K.-P. Lu &amp; Chang, 2020; Saminem et al., 2024)","previouslyFormattedCitation":"(Alfons et al., 2022; K.-P. Lu &amp; Chang, 2020; Saminem et al., 2024)"},"properties":{"noteIndex":0},"schema":"https://github.com/citation-style-language/schema/raw/master/csl-citation.json"}</w:instrText>
      </w:r>
      <w:r w:rsidRPr="0088203A">
        <w:rPr>
          <w:sz w:val="22"/>
          <w:szCs w:val="22"/>
        </w:rPr>
        <w:fldChar w:fldCharType="separate"/>
      </w:r>
      <w:r w:rsidRPr="0088203A">
        <w:rPr>
          <w:noProof/>
          <w:sz w:val="22"/>
          <w:szCs w:val="22"/>
        </w:rPr>
        <w:t>(Alfons et al., 2022; Lu &amp; Chang, 2020; Saminem et al., 2024)</w:t>
      </w:r>
      <w:r w:rsidRPr="0088203A">
        <w:rPr>
          <w:sz w:val="22"/>
          <w:szCs w:val="22"/>
        </w:rPr>
        <w:fldChar w:fldCharType="end"/>
      </w:r>
      <w:r w:rsidRPr="0088203A">
        <w:rPr>
          <w:sz w:val="22"/>
          <w:szCs w:val="22"/>
        </w:rPr>
        <w:t xml:space="preserve">. </w:t>
      </w:r>
    </w:p>
    <w:p w14:paraId="00D53475" w14:textId="77777777" w:rsidR="0088203A" w:rsidRDefault="0088203A" w:rsidP="000303DE">
      <w:pPr>
        <w:spacing w:before="0" w:line="276" w:lineRule="auto"/>
        <w:ind w:firstLine="720"/>
        <w:jc w:val="center"/>
        <w:rPr>
          <w:i/>
          <w:iCs/>
          <w:sz w:val="20"/>
        </w:rPr>
        <w:sectPr w:rsidR="0088203A" w:rsidSect="00232D95">
          <w:type w:val="continuous"/>
          <w:pgSz w:w="11907" w:h="16840" w:code="9"/>
          <w:pgMar w:top="2268" w:right="1701" w:bottom="1701" w:left="2268" w:header="454" w:footer="567" w:gutter="0"/>
          <w:pgNumType w:start="174"/>
          <w:cols w:num="2" w:space="709"/>
          <w:docGrid w:linePitch="326"/>
        </w:sectPr>
      </w:pPr>
    </w:p>
    <w:p w14:paraId="5E26B6F4" w14:textId="77777777" w:rsidR="000303DE" w:rsidRPr="0088203A" w:rsidRDefault="000303DE" w:rsidP="000303DE">
      <w:pPr>
        <w:spacing w:before="0" w:line="276" w:lineRule="auto"/>
        <w:ind w:firstLine="720"/>
        <w:jc w:val="center"/>
        <w:rPr>
          <w:i/>
          <w:iCs/>
          <w:sz w:val="20"/>
        </w:rPr>
      </w:pPr>
      <w:r w:rsidRPr="0088203A">
        <w:rPr>
          <w:i/>
          <w:iCs/>
          <w:sz w:val="20"/>
        </w:rPr>
        <w:t xml:space="preserve">Table 3 </w:t>
      </w:r>
    </w:p>
    <w:p w14:paraId="0E458E7A" w14:textId="77777777" w:rsidR="000303DE" w:rsidRPr="0088203A" w:rsidRDefault="000303DE" w:rsidP="000303DE">
      <w:pPr>
        <w:spacing w:before="0" w:after="240" w:line="276" w:lineRule="auto"/>
        <w:ind w:firstLine="720"/>
        <w:jc w:val="center"/>
        <w:rPr>
          <w:i/>
          <w:iCs/>
          <w:sz w:val="20"/>
        </w:rPr>
      </w:pPr>
      <w:r w:rsidRPr="0088203A">
        <w:rPr>
          <w:i/>
          <w:iCs/>
          <w:sz w:val="20"/>
        </w:rPr>
        <w:t>Statistic Panel Data Analysis</w:t>
      </w:r>
    </w:p>
    <w:p w14:paraId="74006BE6" w14:textId="77777777" w:rsidR="0088203A" w:rsidRDefault="0088203A" w:rsidP="00387AD6">
      <w:pPr>
        <w:spacing w:before="0"/>
        <w:jc w:val="center"/>
        <w:rPr>
          <w:b/>
          <w:sz w:val="20"/>
        </w:rPr>
        <w:sectPr w:rsidR="0088203A" w:rsidSect="0088203A">
          <w:type w:val="continuous"/>
          <w:pgSz w:w="11907" w:h="16840" w:code="9"/>
          <w:pgMar w:top="2268" w:right="1701" w:bottom="1701" w:left="2268" w:header="454" w:footer="567" w:gutter="0"/>
          <w:pgNumType w:start="27"/>
          <w:cols w:space="709"/>
          <w:docGrid w:linePitch="326"/>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693"/>
        <w:gridCol w:w="1476"/>
        <w:gridCol w:w="1620"/>
        <w:gridCol w:w="1693"/>
      </w:tblGrid>
      <w:tr w:rsidR="000303DE" w:rsidRPr="0088203A" w14:paraId="60285E58" w14:textId="77777777" w:rsidTr="000303DE">
        <w:trPr>
          <w:tblHeader/>
          <w:jc w:val="center"/>
        </w:trPr>
        <w:tc>
          <w:tcPr>
            <w:tcW w:w="1456" w:type="dxa"/>
            <w:tcBorders>
              <w:top w:val="single" w:sz="4" w:space="0" w:color="auto"/>
              <w:bottom w:val="single" w:sz="4" w:space="0" w:color="auto"/>
            </w:tcBorders>
            <w:shd w:val="clear" w:color="auto" w:fill="D9EAF7"/>
            <w:vAlign w:val="center"/>
          </w:tcPr>
          <w:p w14:paraId="10F59BB4" w14:textId="77777777" w:rsidR="000303DE" w:rsidRPr="0088203A" w:rsidRDefault="000303DE" w:rsidP="00387AD6">
            <w:pPr>
              <w:spacing w:before="0"/>
              <w:jc w:val="center"/>
              <w:rPr>
                <w:sz w:val="20"/>
              </w:rPr>
            </w:pPr>
            <w:r w:rsidRPr="0088203A">
              <w:rPr>
                <w:b/>
                <w:sz w:val="20"/>
              </w:rPr>
              <w:t>Variables</w:t>
            </w:r>
          </w:p>
        </w:tc>
        <w:tc>
          <w:tcPr>
            <w:tcW w:w="1693" w:type="dxa"/>
            <w:tcBorders>
              <w:top w:val="single" w:sz="4" w:space="0" w:color="auto"/>
              <w:bottom w:val="single" w:sz="4" w:space="0" w:color="auto"/>
            </w:tcBorders>
            <w:shd w:val="clear" w:color="auto" w:fill="D9EAF7"/>
            <w:vAlign w:val="center"/>
          </w:tcPr>
          <w:p w14:paraId="39630E39" w14:textId="77777777" w:rsidR="000303DE" w:rsidRPr="0088203A" w:rsidRDefault="000303DE" w:rsidP="00387AD6">
            <w:pPr>
              <w:spacing w:before="0"/>
              <w:jc w:val="center"/>
              <w:rPr>
                <w:sz w:val="20"/>
              </w:rPr>
            </w:pPr>
            <w:r w:rsidRPr="0088203A">
              <w:rPr>
                <w:b/>
                <w:sz w:val="20"/>
              </w:rPr>
              <w:t>POLS</w:t>
            </w:r>
          </w:p>
        </w:tc>
        <w:tc>
          <w:tcPr>
            <w:tcW w:w="1476" w:type="dxa"/>
            <w:tcBorders>
              <w:top w:val="single" w:sz="4" w:space="0" w:color="auto"/>
              <w:bottom w:val="single" w:sz="4" w:space="0" w:color="auto"/>
            </w:tcBorders>
            <w:shd w:val="clear" w:color="auto" w:fill="D9EAF7"/>
            <w:vAlign w:val="center"/>
          </w:tcPr>
          <w:p w14:paraId="282585A3" w14:textId="77777777" w:rsidR="000303DE" w:rsidRPr="0088203A" w:rsidRDefault="000303DE" w:rsidP="00387AD6">
            <w:pPr>
              <w:spacing w:before="0"/>
              <w:jc w:val="center"/>
              <w:rPr>
                <w:sz w:val="20"/>
              </w:rPr>
            </w:pPr>
            <w:r w:rsidRPr="0088203A">
              <w:rPr>
                <w:b/>
                <w:sz w:val="20"/>
              </w:rPr>
              <w:t>FEM</w:t>
            </w:r>
          </w:p>
        </w:tc>
        <w:tc>
          <w:tcPr>
            <w:tcW w:w="1620" w:type="dxa"/>
            <w:tcBorders>
              <w:top w:val="single" w:sz="4" w:space="0" w:color="auto"/>
              <w:bottom w:val="single" w:sz="4" w:space="0" w:color="auto"/>
            </w:tcBorders>
            <w:shd w:val="clear" w:color="auto" w:fill="D9EAF7"/>
            <w:vAlign w:val="center"/>
          </w:tcPr>
          <w:p w14:paraId="42848B64" w14:textId="77777777" w:rsidR="000303DE" w:rsidRPr="0088203A" w:rsidRDefault="000303DE" w:rsidP="00387AD6">
            <w:pPr>
              <w:spacing w:before="0"/>
              <w:jc w:val="center"/>
              <w:rPr>
                <w:sz w:val="20"/>
              </w:rPr>
            </w:pPr>
            <w:r w:rsidRPr="0088203A">
              <w:rPr>
                <w:b/>
                <w:sz w:val="20"/>
              </w:rPr>
              <w:t>REM</w:t>
            </w:r>
          </w:p>
        </w:tc>
        <w:tc>
          <w:tcPr>
            <w:tcW w:w="1693" w:type="dxa"/>
            <w:tcBorders>
              <w:top w:val="single" w:sz="4" w:space="0" w:color="auto"/>
              <w:bottom w:val="single" w:sz="4" w:space="0" w:color="auto"/>
            </w:tcBorders>
            <w:shd w:val="clear" w:color="auto" w:fill="D9EAF7"/>
            <w:vAlign w:val="center"/>
          </w:tcPr>
          <w:p w14:paraId="71E4589C" w14:textId="77777777" w:rsidR="000303DE" w:rsidRPr="0088203A" w:rsidRDefault="000303DE" w:rsidP="00387AD6">
            <w:pPr>
              <w:spacing w:before="0"/>
              <w:jc w:val="center"/>
              <w:rPr>
                <w:sz w:val="20"/>
              </w:rPr>
            </w:pPr>
            <w:r w:rsidRPr="0088203A">
              <w:rPr>
                <w:b/>
                <w:sz w:val="20"/>
              </w:rPr>
              <w:t>GLS</w:t>
            </w:r>
          </w:p>
        </w:tc>
      </w:tr>
      <w:tr w:rsidR="000303DE" w:rsidRPr="0088203A" w14:paraId="1D448166" w14:textId="77777777" w:rsidTr="000303DE">
        <w:trPr>
          <w:jc w:val="center"/>
        </w:trPr>
        <w:tc>
          <w:tcPr>
            <w:tcW w:w="1456" w:type="dxa"/>
            <w:tcBorders>
              <w:top w:val="single" w:sz="4" w:space="0" w:color="auto"/>
            </w:tcBorders>
            <w:vAlign w:val="center"/>
          </w:tcPr>
          <w:p w14:paraId="07B8319C" w14:textId="77777777" w:rsidR="000303DE" w:rsidRPr="0088203A" w:rsidRDefault="000303DE" w:rsidP="00387AD6">
            <w:pPr>
              <w:spacing w:before="0"/>
              <w:jc w:val="center"/>
              <w:rPr>
                <w:sz w:val="20"/>
              </w:rPr>
            </w:pPr>
            <w:r w:rsidRPr="0088203A">
              <w:rPr>
                <w:sz w:val="20"/>
              </w:rPr>
              <w:t>ESG</w:t>
            </w:r>
          </w:p>
        </w:tc>
        <w:tc>
          <w:tcPr>
            <w:tcW w:w="1693" w:type="dxa"/>
            <w:tcBorders>
              <w:top w:val="single" w:sz="4" w:space="0" w:color="auto"/>
            </w:tcBorders>
            <w:vAlign w:val="center"/>
          </w:tcPr>
          <w:p w14:paraId="4053E6C4" w14:textId="77777777" w:rsidR="000303DE" w:rsidRPr="0088203A" w:rsidRDefault="000303DE" w:rsidP="00387AD6">
            <w:pPr>
              <w:spacing w:before="0"/>
              <w:jc w:val="center"/>
              <w:rPr>
                <w:sz w:val="20"/>
              </w:rPr>
            </w:pPr>
            <w:r w:rsidRPr="0088203A">
              <w:rPr>
                <w:sz w:val="20"/>
              </w:rPr>
              <w:t>0.109**</w:t>
            </w:r>
            <w:r w:rsidRPr="0088203A">
              <w:rPr>
                <w:sz w:val="20"/>
              </w:rPr>
              <w:br/>
              <w:t>(0.0488)</w:t>
            </w:r>
          </w:p>
        </w:tc>
        <w:tc>
          <w:tcPr>
            <w:tcW w:w="1476" w:type="dxa"/>
            <w:tcBorders>
              <w:top w:val="single" w:sz="4" w:space="0" w:color="auto"/>
            </w:tcBorders>
            <w:vAlign w:val="center"/>
          </w:tcPr>
          <w:p w14:paraId="6DC8D6C6" w14:textId="77777777" w:rsidR="000303DE" w:rsidRPr="0088203A" w:rsidRDefault="000303DE" w:rsidP="00387AD6">
            <w:pPr>
              <w:spacing w:before="0"/>
              <w:jc w:val="center"/>
              <w:rPr>
                <w:sz w:val="20"/>
              </w:rPr>
            </w:pPr>
            <w:r w:rsidRPr="0088203A">
              <w:rPr>
                <w:sz w:val="20"/>
              </w:rPr>
              <w:t>0.103**</w:t>
            </w:r>
            <w:r w:rsidRPr="0088203A">
              <w:rPr>
                <w:sz w:val="20"/>
              </w:rPr>
              <w:br/>
              <w:t>(0.0419)</w:t>
            </w:r>
          </w:p>
        </w:tc>
        <w:tc>
          <w:tcPr>
            <w:tcW w:w="1620" w:type="dxa"/>
            <w:tcBorders>
              <w:top w:val="single" w:sz="4" w:space="0" w:color="auto"/>
            </w:tcBorders>
            <w:vAlign w:val="center"/>
          </w:tcPr>
          <w:p w14:paraId="4CE46782" w14:textId="77777777" w:rsidR="000303DE" w:rsidRPr="0088203A" w:rsidRDefault="000303DE" w:rsidP="00387AD6">
            <w:pPr>
              <w:spacing w:before="0"/>
              <w:jc w:val="center"/>
              <w:rPr>
                <w:sz w:val="20"/>
              </w:rPr>
            </w:pPr>
            <w:r w:rsidRPr="0088203A">
              <w:rPr>
                <w:sz w:val="20"/>
              </w:rPr>
              <w:t>0.102**</w:t>
            </w:r>
            <w:r w:rsidRPr="0088203A">
              <w:rPr>
                <w:sz w:val="20"/>
              </w:rPr>
              <w:br/>
              <w:t>(0.0409)</w:t>
            </w:r>
          </w:p>
        </w:tc>
        <w:tc>
          <w:tcPr>
            <w:tcW w:w="1693" w:type="dxa"/>
            <w:tcBorders>
              <w:top w:val="single" w:sz="4" w:space="0" w:color="auto"/>
            </w:tcBorders>
            <w:vAlign w:val="center"/>
          </w:tcPr>
          <w:p w14:paraId="7163D08C" w14:textId="77777777" w:rsidR="000303DE" w:rsidRPr="0088203A" w:rsidRDefault="000303DE" w:rsidP="00387AD6">
            <w:pPr>
              <w:spacing w:before="0"/>
              <w:jc w:val="center"/>
              <w:rPr>
                <w:sz w:val="20"/>
              </w:rPr>
            </w:pPr>
            <w:r w:rsidRPr="0088203A">
              <w:rPr>
                <w:sz w:val="20"/>
              </w:rPr>
              <w:t>0.109**</w:t>
            </w:r>
            <w:r w:rsidRPr="0088203A">
              <w:rPr>
                <w:sz w:val="20"/>
              </w:rPr>
              <w:br/>
              <w:t>(0.0471)</w:t>
            </w:r>
          </w:p>
        </w:tc>
      </w:tr>
      <w:tr w:rsidR="000303DE" w:rsidRPr="0088203A" w14:paraId="316FB896" w14:textId="77777777" w:rsidTr="000303DE">
        <w:trPr>
          <w:jc w:val="center"/>
        </w:trPr>
        <w:tc>
          <w:tcPr>
            <w:tcW w:w="1456" w:type="dxa"/>
            <w:vAlign w:val="center"/>
          </w:tcPr>
          <w:p w14:paraId="6824E751" w14:textId="77777777" w:rsidR="000303DE" w:rsidRPr="0088203A" w:rsidRDefault="000303DE" w:rsidP="00387AD6">
            <w:pPr>
              <w:spacing w:before="0"/>
              <w:jc w:val="center"/>
              <w:rPr>
                <w:sz w:val="20"/>
              </w:rPr>
            </w:pPr>
            <w:r w:rsidRPr="0088203A">
              <w:rPr>
                <w:sz w:val="20"/>
              </w:rPr>
              <w:t>SRI</w:t>
            </w:r>
          </w:p>
        </w:tc>
        <w:tc>
          <w:tcPr>
            <w:tcW w:w="1693" w:type="dxa"/>
            <w:vAlign w:val="center"/>
          </w:tcPr>
          <w:p w14:paraId="6ACAF048" w14:textId="77777777" w:rsidR="000303DE" w:rsidRPr="0088203A" w:rsidRDefault="000303DE" w:rsidP="00387AD6">
            <w:pPr>
              <w:spacing w:before="0"/>
              <w:jc w:val="center"/>
              <w:rPr>
                <w:sz w:val="20"/>
              </w:rPr>
            </w:pPr>
            <w:r w:rsidRPr="0088203A">
              <w:rPr>
                <w:sz w:val="20"/>
              </w:rPr>
              <w:t>-0.000542</w:t>
            </w:r>
            <w:r w:rsidRPr="0088203A">
              <w:rPr>
                <w:sz w:val="20"/>
              </w:rPr>
              <w:br/>
              <w:t>(0.0232)</w:t>
            </w:r>
          </w:p>
        </w:tc>
        <w:tc>
          <w:tcPr>
            <w:tcW w:w="1476" w:type="dxa"/>
            <w:vAlign w:val="center"/>
          </w:tcPr>
          <w:p w14:paraId="0670DC8A" w14:textId="77777777" w:rsidR="000303DE" w:rsidRPr="0088203A" w:rsidRDefault="000303DE" w:rsidP="00387AD6">
            <w:pPr>
              <w:spacing w:before="0"/>
              <w:jc w:val="center"/>
              <w:rPr>
                <w:sz w:val="20"/>
              </w:rPr>
            </w:pPr>
            <w:r w:rsidRPr="0088203A">
              <w:rPr>
                <w:sz w:val="20"/>
              </w:rPr>
              <w:t>-0.0137</w:t>
            </w:r>
            <w:r w:rsidRPr="0088203A">
              <w:rPr>
                <w:sz w:val="20"/>
              </w:rPr>
              <w:br/>
              <w:t>(0.0154)</w:t>
            </w:r>
          </w:p>
        </w:tc>
        <w:tc>
          <w:tcPr>
            <w:tcW w:w="1620" w:type="dxa"/>
            <w:vAlign w:val="center"/>
          </w:tcPr>
          <w:p w14:paraId="32C960A4" w14:textId="77777777" w:rsidR="000303DE" w:rsidRPr="0088203A" w:rsidRDefault="000303DE" w:rsidP="00387AD6">
            <w:pPr>
              <w:spacing w:before="0"/>
              <w:jc w:val="center"/>
              <w:rPr>
                <w:sz w:val="20"/>
              </w:rPr>
            </w:pPr>
            <w:r w:rsidRPr="0088203A">
              <w:rPr>
                <w:sz w:val="20"/>
              </w:rPr>
              <w:t>-0.0131</w:t>
            </w:r>
            <w:r w:rsidRPr="0088203A">
              <w:rPr>
                <w:sz w:val="20"/>
              </w:rPr>
              <w:br/>
              <w:t>(0.0157)</w:t>
            </w:r>
          </w:p>
        </w:tc>
        <w:tc>
          <w:tcPr>
            <w:tcW w:w="1693" w:type="dxa"/>
            <w:vAlign w:val="center"/>
          </w:tcPr>
          <w:p w14:paraId="728D4A7E" w14:textId="77777777" w:rsidR="000303DE" w:rsidRPr="0088203A" w:rsidRDefault="000303DE" w:rsidP="00387AD6">
            <w:pPr>
              <w:spacing w:before="0"/>
              <w:jc w:val="center"/>
              <w:rPr>
                <w:sz w:val="20"/>
              </w:rPr>
            </w:pPr>
            <w:r w:rsidRPr="0088203A">
              <w:rPr>
                <w:sz w:val="20"/>
              </w:rPr>
              <w:t>-0.000542</w:t>
            </w:r>
            <w:r w:rsidRPr="0088203A">
              <w:rPr>
                <w:sz w:val="20"/>
              </w:rPr>
              <w:br/>
              <w:t>(0.0224)</w:t>
            </w:r>
          </w:p>
        </w:tc>
      </w:tr>
      <w:tr w:rsidR="000303DE" w:rsidRPr="0088203A" w14:paraId="0BEE772B" w14:textId="77777777" w:rsidTr="000303DE">
        <w:trPr>
          <w:jc w:val="center"/>
        </w:trPr>
        <w:tc>
          <w:tcPr>
            <w:tcW w:w="1456" w:type="dxa"/>
            <w:vAlign w:val="center"/>
          </w:tcPr>
          <w:p w14:paraId="2609333A" w14:textId="77777777" w:rsidR="000303DE" w:rsidRPr="0088203A" w:rsidRDefault="000303DE" w:rsidP="00387AD6">
            <w:pPr>
              <w:spacing w:before="0"/>
              <w:jc w:val="center"/>
              <w:rPr>
                <w:sz w:val="20"/>
              </w:rPr>
            </w:pPr>
            <w:r w:rsidRPr="0088203A">
              <w:rPr>
                <w:sz w:val="20"/>
              </w:rPr>
              <w:t>GIN</w:t>
            </w:r>
          </w:p>
        </w:tc>
        <w:tc>
          <w:tcPr>
            <w:tcW w:w="1693" w:type="dxa"/>
            <w:vAlign w:val="center"/>
          </w:tcPr>
          <w:p w14:paraId="49FEFEA7" w14:textId="77777777" w:rsidR="000303DE" w:rsidRPr="0088203A" w:rsidRDefault="000303DE" w:rsidP="00387AD6">
            <w:pPr>
              <w:spacing w:before="0"/>
              <w:jc w:val="center"/>
              <w:rPr>
                <w:sz w:val="20"/>
              </w:rPr>
            </w:pPr>
            <w:r w:rsidRPr="0088203A">
              <w:rPr>
                <w:sz w:val="20"/>
              </w:rPr>
              <w:t>0.139***</w:t>
            </w:r>
            <w:r w:rsidRPr="0088203A">
              <w:rPr>
                <w:sz w:val="20"/>
              </w:rPr>
              <w:br/>
              <w:t>(0.0245)</w:t>
            </w:r>
          </w:p>
        </w:tc>
        <w:tc>
          <w:tcPr>
            <w:tcW w:w="1476" w:type="dxa"/>
            <w:vAlign w:val="center"/>
          </w:tcPr>
          <w:p w14:paraId="567C2A8D" w14:textId="77777777" w:rsidR="000303DE" w:rsidRPr="0088203A" w:rsidRDefault="000303DE" w:rsidP="00387AD6">
            <w:pPr>
              <w:spacing w:before="0"/>
              <w:jc w:val="center"/>
              <w:rPr>
                <w:sz w:val="20"/>
              </w:rPr>
            </w:pPr>
            <w:r w:rsidRPr="0088203A">
              <w:rPr>
                <w:sz w:val="20"/>
              </w:rPr>
              <w:t>0.0365*</w:t>
            </w:r>
            <w:r w:rsidRPr="0088203A">
              <w:rPr>
                <w:sz w:val="20"/>
              </w:rPr>
              <w:br/>
              <w:t>(0.0200)</w:t>
            </w:r>
          </w:p>
        </w:tc>
        <w:tc>
          <w:tcPr>
            <w:tcW w:w="1620" w:type="dxa"/>
            <w:vAlign w:val="center"/>
          </w:tcPr>
          <w:p w14:paraId="747953E9" w14:textId="77777777" w:rsidR="000303DE" w:rsidRPr="0088203A" w:rsidRDefault="000303DE" w:rsidP="00387AD6">
            <w:pPr>
              <w:spacing w:before="0"/>
              <w:jc w:val="center"/>
              <w:rPr>
                <w:sz w:val="20"/>
              </w:rPr>
            </w:pPr>
            <w:r w:rsidRPr="0088203A">
              <w:rPr>
                <w:sz w:val="20"/>
              </w:rPr>
              <w:t>0.0535***</w:t>
            </w:r>
            <w:r w:rsidRPr="0088203A">
              <w:rPr>
                <w:sz w:val="20"/>
              </w:rPr>
              <w:br/>
              <w:t>(0.0197)</w:t>
            </w:r>
          </w:p>
        </w:tc>
        <w:tc>
          <w:tcPr>
            <w:tcW w:w="1693" w:type="dxa"/>
            <w:vAlign w:val="center"/>
          </w:tcPr>
          <w:p w14:paraId="6D95190A" w14:textId="77777777" w:rsidR="000303DE" w:rsidRPr="0088203A" w:rsidRDefault="000303DE" w:rsidP="00387AD6">
            <w:pPr>
              <w:spacing w:before="0"/>
              <w:jc w:val="center"/>
              <w:rPr>
                <w:sz w:val="20"/>
              </w:rPr>
            </w:pPr>
            <w:r w:rsidRPr="0088203A">
              <w:rPr>
                <w:sz w:val="20"/>
              </w:rPr>
              <w:t>0.139***</w:t>
            </w:r>
            <w:r w:rsidRPr="0088203A">
              <w:rPr>
                <w:sz w:val="20"/>
              </w:rPr>
              <w:br/>
              <w:t>(0.0236)</w:t>
            </w:r>
          </w:p>
        </w:tc>
      </w:tr>
      <w:tr w:rsidR="000303DE" w:rsidRPr="0088203A" w14:paraId="5CD1C0A5" w14:textId="77777777" w:rsidTr="000303DE">
        <w:trPr>
          <w:jc w:val="center"/>
        </w:trPr>
        <w:tc>
          <w:tcPr>
            <w:tcW w:w="1456" w:type="dxa"/>
            <w:vAlign w:val="center"/>
          </w:tcPr>
          <w:p w14:paraId="565E5AB3" w14:textId="77777777" w:rsidR="000303DE" w:rsidRPr="0088203A" w:rsidRDefault="000303DE" w:rsidP="00387AD6">
            <w:pPr>
              <w:spacing w:before="0"/>
              <w:jc w:val="center"/>
              <w:rPr>
                <w:sz w:val="20"/>
              </w:rPr>
            </w:pPr>
            <w:r w:rsidRPr="0088203A">
              <w:rPr>
                <w:sz w:val="20"/>
              </w:rPr>
              <w:t>MESG</w:t>
            </w:r>
          </w:p>
        </w:tc>
        <w:tc>
          <w:tcPr>
            <w:tcW w:w="1693" w:type="dxa"/>
            <w:vAlign w:val="center"/>
          </w:tcPr>
          <w:p w14:paraId="7CCA7A10" w14:textId="77777777" w:rsidR="000303DE" w:rsidRPr="0088203A" w:rsidRDefault="000303DE" w:rsidP="00387AD6">
            <w:pPr>
              <w:spacing w:before="0"/>
              <w:jc w:val="center"/>
              <w:rPr>
                <w:sz w:val="20"/>
              </w:rPr>
            </w:pPr>
            <w:r w:rsidRPr="0088203A">
              <w:rPr>
                <w:sz w:val="20"/>
              </w:rPr>
              <w:t>0.00246***</w:t>
            </w:r>
            <w:r w:rsidRPr="0088203A">
              <w:rPr>
                <w:sz w:val="20"/>
              </w:rPr>
              <w:br/>
              <w:t>(0.000771)</w:t>
            </w:r>
          </w:p>
        </w:tc>
        <w:tc>
          <w:tcPr>
            <w:tcW w:w="1476" w:type="dxa"/>
            <w:vAlign w:val="center"/>
          </w:tcPr>
          <w:p w14:paraId="7EB9AD5F" w14:textId="77777777" w:rsidR="000303DE" w:rsidRPr="0088203A" w:rsidRDefault="000303DE" w:rsidP="00387AD6">
            <w:pPr>
              <w:spacing w:before="0"/>
              <w:jc w:val="center"/>
              <w:rPr>
                <w:sz w:val="20"/>
              </w:rPr>
            </w:pPr>
            <w:r w:rsidRPr="0088203A">
              <w:rPr>
                <w:sz w:val="20"/>
              </w:rPr>
              <w:t>0.00123**</w:t>
            </w:r>
            <w:r w:rsidRPr="0088203A">
              <w:rPr>
                <w:sz w:val="20"/>
              </w:rPr>
              <w:br/>
              <w:t>(0.000615)</w:t>
            </w:r>
          </w:p>
        </w:tc>
        <w:tc>
          <w:tcPr>
            <w:tcW w:w="1620" w:type="dxa"/>
            <w:vAlign w:val="center"/>
          </w:tcPr>
          <w:p w14:paraId="343D1591" w14:textId="77777777" w:rsidR="000303DE" w:rsidRPr="0088203A" w:rsidRDefault="000303DE" w:rsidP="00387AD6">
            <w:pPr>
              <w:spacing w:before="0"/>
              <w:jc w:val="center"/>
              <w:rPr>
                <w:sz w:val="20"/>
              </w:rPr>
            </w:pPr>
            <w:r w:rsidRPr="0088203A">
              <w:rPr>
                <w:sz w:val="20"/>
              </w:rPr>
              <w:t>0.00145**</w:t>
            </w:r>
            <w:r w:rsidRPr="0088203A">
              <w:rPr>
                <w:sz w:val="20"/>
              </w:rPr>
              <w:br/>
              <w:t>(0.000608)</w:t>
            </w:r>
          </w:p>
        </w:tc>
        <w:tc>
          <w:tcPr>
            <w:tcW w:w="1693" w:type="dxa"/>
            <w:vAlign w:val="center"/>
          </w:tcPr>
          <w:p w14:paraId="26711F7D" w14:textId="77777777" w:rsidR="000303DE" w:rsidRPr="0088203A" w:rsidRDefault="000303DE" w:rsidP="00387AD6">
            <w:pPr>
              <w:spacing w:before="0"/>
              <w:jc w:val="center"/>
              <w:rPr>
                <w:sz w:val="20"/>
              </w:rPr>
            </w:pPr>
            <w:r w:rsidRPr="0088203A">
              <w:rPr>
                <w:sz w:val="20"/>
              </w:rPr>
              <w:t>0.00246***</w:t>
            </w:r>
            <w:r w:rsidRPr="0088203A">
              <w:rPr>
                <w:sz w:val="20"/>
              </w:rPr>
              <w:br/>
              <w:t>(0.000744)</w:t>
            </w:r>
          </w:p>
        </w:tc>
      </w:tr>
      <w:tr w:rsidR="000303DE" w:rsidRPr="0088203A" w14:paraId="29555640" w14:textId="77777777" w:rsidTr="000303DE">
        <w:trPr>
          <w:jc w:val="center"/>
        </w:trPr>
        <w:tc>
          <w:tcPr>
            <w:tcW w:w="1456" w:type="dxa"/>
            <w:vAlign w:val="center"/>
          </w:tcPr>
          <w:p w14:paraId="75D869A8" w14:textId="77777777" w:rsidR="000303DE" w:rsidRPr="0088203A" w:rsidRDefault="000303DE" w:rsidP="00387AD6">
            <w:pPr>
              <w:spacing w:before="0"/>
              <w:jc w:val="center"/>
              <w:rPr>
                <w:sz w:val="20"/>
              </w:rPr>
            </w:pPr>
            <w:r w:rsidRPr="0088203A">
              <w:rPr>
                <w:sz w:val="20"/>
              </w:rPr>
              <w:t>MSRI</w:t>
            </w:r>
          </w:p>
        </w:tc>
        <w:tc>
          <w:tcPr>
            <w:tcW w:w="1693" w:type="dxa"/>
            <w:vAlign w:val="center"/>
          </w:tcPr>
          <w:p w14:paraId="0A5A4B92" w14:textId="77777777" w:rsidR="000303DE" w:rsidRPr="0088203A" w:rsidRDefault="000303DE" w:rsidP="00387AD6">
            <w:pPr>
              <w:spacing w:before="0"/>
              <w:jc w:val="center"/>
              <w:rPr>
                <w:sz w:val="20"/>
              </w:rPr>
            </w:pPr>
            <w:r w:rsidRPr="0088203A">
              <w:rPr>
                <w:sz w:val="20"/>
              </w:rPr>
              <w:t>0.0000870</w:t>
            </w:r>
            <w:r w:rsidRPr="0088203A">
              <w:rPr>
                <w:sz w:val="20"/>
              </w:rPr>
              <w:br/>
              <w:t>(0.000375)</w:t>
            </w:r>
          </w:p>
        </w:tc>
        <w:tc>
          <w:tcPr>
            <w:tcW w:w="1476" w:type="dxa"/>
            <w:vAlign w:val="center"/>
          </w:tcPr>
          <w:p w14:paraId="4511C521" w14:textId="77777777" w:rsidR="000303DE" w:rsidRPr="0088203A" w:rsidRDefault="000303DE" w:rsidP="00387AD6">
            <w:pPr>
              <w:spacing w:before="0"/>
              <w:jc w:val="center"/>
              <w:rPr>
                <w:sz w:val="20"/>
              </w:rPr>
            </w:pPr>
            <w:r w:rsidRPr="0088203A">
              <w:rPr>
                <w:sz w:val="20"/>
              </w:rPr>
              <w:t>0.000287</w:t>
            </w:r>
            <w:r w:rsidRPr="0088203A">
              <w:rPr>
                <w:sz w:val="20"/>
              </w:rPr>
              <w:br/>
              <w:t>(0.000257)</w:t>
            </w:r>
          </w:p>
        </w:tc>
        <w:tc>
          <w:tcPr>
            <w:tcW w:w="1620" w:type="dxa"/>
            <w:vAlign w:val="center"/>
          </w:tcPr>
          <w:p w14:paraId="55C45974" w14:textId="77777777" w:rsidR="000303DE" w:rsidRPr="0088203A" w:rsidRDefault="000303DE" w:rsidP="00387AD6">
            <w:pPr>
              <w:spacing w:before="0"/>
              <w:jc w:val="center"/>
              <w:rPr>
                <w:sz w:val="20"/>
              </w:rPr>
            </w:pPr>
            <w:r w:rsidRPr="0088203A">
              <w:rPr>
                <w:sz w:val="20"/>
              </w:rPr>
              <w:t>0.000241</w:t>
            </w:r>
            <w:r w:rsidRPr="0088203A">
              <w:rPr>
                <w:sz w:val="20"/>
              </w:rPr>
              <w:br/>
              <w:t>(0.000262)</w:t>
            </w:r>
          </w:p>
        </w:tc>
        <w:tc>
          <w:tcPr>
            <w:tcW w:w="1693" w:type="dxa"/>
            <w:vAlign w:val="center"/>
          </w:tcPr>
          <w:p w14:paraId="68A8A881" w14:textId="77777777" w:rsidR="000303DE" w:rsidRPr="0088203A" w:rsidRDefault="000303DE" w:rsidP="00387AD6">
            <w:pPr>
              <w:spacing w:before="0"/>
              <w:jc w:val="center"/>
              <w:rPr>
                <w:sz w:val="20"/>
              </w:rPr>
            </w:pPr>
            <w:r w:rsidRPr="0088203A">
              <w:rPr>
                <w:sz w:val="20"/>
              </w:rPr>
              <w:t>0.0000870</w:t>
            </w:r>
            <w:r w:rsidRPr="0088203A">
              <w:rPr>
                <w:sz w:val="20"/>
              </w:rPr>
              <w:br/>
              <w:t>(0.000362)</w:t>
            </w:r>
          </w:p>
        </w:tc>
      </w:tr>
      <w:tr w:rsidR="000303DE" w:rsidRPr="0088203A" w14:paraId="363BA0DA" w14:textId="77777777" w:rsidTr="000303DE">
        <w:trPr>
          <w:jc w:val="center"/>
        </w:trPr>
        <w:tc>
          <w:tcPr>
            <w:tcW w:w="1456" w:type="dxa"/>
            <w:vAlign w:val="center"/>
          </w:tcPr>
          <w:p w14:paraId="49DA929E" w14:textId="77777777" w:rsidR="000303DE" w:rsidRPr="0088203A" w:rsidRDefault="000303DE" w:rsidP="00387AD6">
            <w:pPr>
              <w:spacing w:before="0"/>
              <w:jc w:val="center"/>
              <w:rPr>
                <w:sz w:val="20"/>
              </w:rPr>
            </w:pPr>
            <w:r w:rsidRPr="0088203A">
              <w:rPr>
                <w:sz w:val="20"/>
              </w:rPr>
              <w:t>SIZ</w:t>
            </w:r>
          </w:p>
        </w:tc>
        <w:tc>
          <w:tcPr>
            <w:tcW w:w="1693" w:type="dxa"/>
            <w:vAlign w:val="center"/>
          </w:tcPr>
          <w:p w14:paraId="6137882B" w14:textId="77777777" w:rsidR="000303DE" w:rsidRPr="0088203A" w:rsidRDefault="000303DE" w:rsidP="00387AD6">
            <w:pPr>
              <w:spacing w:before="0"/>
              <w:jc w:val="center"/>
              <w:rPr>
                <w:sz w:val="20"/>
              </w:rPr>
            </w:pPr>
            <w:r w:rsidRPr="0088203A">
              <w:rPr>
                <w:sz w:val="20"/>
              </w:rPr>
              <w:t>0.0000272***</w:t>
            </w:r>
            <w:r w:rsidRPr="0088203A">
              <w:rPr>
                <w:sz w:val="20"/>
              </w:rPr>
              <w:br/>
              <w:t>(0.00000770)</w:t>
            </w:r>
          </w:p>
        </w:tc>
        <w:tc>
          <w:tcPr>
            <w:tcW w:w="1476" w:type="dxa"/>
            <w:vAlign w:val="center"/>
          </w:tcPr>
          <w:p w14:paraId="2A6FD27B" w14:textId="77777777" w:rsidR="000303DE" w:rsidRPr="0088203A" w:rsidRDefault="000303DE" w:rsidP="00387AD6">
            <w:pPr>
              <w:spacing w:before="0"/>
              <w:jc w:val="center"/>
              <w:rPr>
                <w:sz w:val="20"/>
              </w:rPr>
            </w:pPr>
            <w:r w:rsidRPr="0088203A">
              <w:rPr>
                <w:sz w:val="20"/>
              </w:rPr>
              <w:t>0.0000134</w:t>
            </w:r>
            <w:r w:rsidRPr="0088203A">
              <w:rPr>
                <w:sz w:val="20"/>
              </w:rPr>
              <w:br/>
              <w:t>(0.0000205)</w:t>
            </w:r>
          </w:p>
        </w:tc>
        <w:tc>
          <w:tcPr>
            <w:tcW w:w="1620" w:type="dxa"/>
            <w:vAlign w:val="center"/>
          </w:tcPr>
          <w:p w14:paraId="1EEA9200" w14:textId="77777777" w:rsidR="000303DE" w:rsidRPr="0088203A" w:rsidRDefault="000303DE" w:rsidP="00387AD6">
            <w:pPr>
              <w:spacing w:before="0"/>
              <w:jc w:val="center"/>
              <w:rPr>
                <w:sz w:val="20"/>
              </w:rPr>
            </w:pPr>
            <w:r w:rsidRPr="0088203A">
              <w:rPr>
                <w:sz w:val="20"/>
              </w:rPr>
              <w:t>0.0000324**</w:t>
            </w:r>
            <w:r w:rsidRPr="0088203A">
              <w:rPr>
                <w:sz w:val="20"/>
              </w:rPr>
              <w:br/>
              <w:t>(0.0000142)</w:t>
            </w:r>
          </w:p>
        </w:tc>
        <w:tc>
          <w:tcPr>
            <w:tcW w:w="1693" w:type="dxa"/>
            <w:vAlign w:val="center"/>
          </w:tcPr>
          <w:p w14:paraId="27EFD142" w14:textId="77777777" w:rsidR="000303DE" w:rsidRPr="0088203A" w:rsidRDefault="000303DE" w:rsidP="00387AD6">
            <w:pPr>
              <w:spacing w:before="0"/>
              <w:jc w:val="center"/>
              <w:rPr>
                <w:sz w:val="20"/>
              </w:rPr>
            </w:pPr>
            <w:r w:rsidRPr="0088203A">
              <w:rPr>
                <w:sz w:val="20"/>
              </w:rPr>
              <w:t>0.0000272***</w:t>
            </w:r>
            <w:r w:rsidRPr="0088203A">
              <w:rPr>
                <w:sz w:val="20"/>
              </w:rPr>
              <w:br/>
              <w:t>(0.00000743)</w:t>
            </w:r>
          </w:p>
        </w:tc>
      </w:tr>
      <w:tr w:rsidR="000303DE" w:rsidRPr="0088203A" w14:paraId="4B3DB21D" w14:textId="77777777" w:rsidTr="000303DE">
        <w:trPr>
          <w:jc w:val="center"/>
        </w:trPr>
        <w:tc>
          <w:tcPr>
            <w:tcW w:w="1456" w:type="dxa"/>
            <w:vAlign w:val="center"/>
          </w:tcPr>
          <w:p w14:paraId="289696CD" w14:textId="77777777" w:rsidR="000303DE" w:rsidRPr="0088203A" w:rsidRDefault="000303DE" w:rsidP="00387AD6">
            <w:pPr>
              <w:spacing w:before="0"/>
              <w:jc w:val="center"/>
              <w:rPr>
                <w:sz w:val="20"/>
              </w:rPr>
            </w:pPr>
            <w:r w:rsidRPr="0088203A">
              <w:rPr>
                <w:sz w:val="20"/>
              </w:rPr>
              <w:t>_cons</w:t>
            </w:r>
          </w:p>
        </w:tc>
        <w:tc>
          <w:tcPr>
            <w:tcW w:w="1693" w:type="dxa"/>
            <w:vAlign w:val="center"/>
          </w:tcPr>
          <w:p w14:paraId="3423F484" w14:textId="77777777" w:rsidR="000303DE" w:rsidRPr="0088203A" w:rsidRDefault="000303DE" w:rsidP="00387AD6">
            <w:pPr>
              <w:spacing w:before="0"/>
              <w:jc w:val="center"/>
              <w:rPr>
                <w:sz w:val="20"/>
              </w:rPr>
            </w:pPr>
            <w:r w:rsidRPr="0088203A">
              <w:rPr>
                <w:sz w:val="20"/>
              </w:rPr>
              <w:t>7.862***</w:t>
            </w:r>
            <w:r w:rsidRPr="0088203A">
              <w:rPr>
                <w:sz w:val="20"/>
              </w:rPr>
              <w:br/>
              <w:t>(2.031)</w:t>
            </w:r>
          </w:p>
        </w:tc>
        <w:tc>
          <w:tcPr>
            <w:tcW w:w="1476" w:type="dxa"/>
            <w:vAlign w:val="center"/>
          </w:tcPr>
          <w:p w14:paraId="62682EB6" w14:textId="77777777" w:rsidR="000303DE" w:rsidRPr="0088203A" w:rsidRDefault="000303DE" w:rsidP="00387AD6">
            <w:pPr>
              <w:spacing w:before="0"/>
              <w:jc w:val="center"/>
              <w:rPr>
                <w:sz w:val="20"/>
              </w:rPr>
            </w:pPr>
            <w:r w:rsidRPr="0088203A">
              <w:rPr>
                <w:sz w:val="20"/>
              </w:rPr>
              <w:t>5.207***</w:t>
            </w:r>
            <w:r w:rsidRPr="0088203A">
              <w:rPr>
                <w:sz w:val="20"/>
              </w:rPr>
              <w:br/>
              <w:t>(1.182)</w:t>
            </w:r>
          </w:p>
        </w:tc>
        <w:tc>
          <w:tcPr>
            <w:tcW w:w="1620" w:type="dxa"/>
            <w:vAlign w:val="center"/>
          </w:tcPr>
          <w:p w14:paraId="51D4F640" w14:textId="77777777" w:rsidR="000303DE" w:rsidRPr="0088203A" w:rsidRDefault="000303DE" w:rsidP="00387AD6">
            <w:pPr>
              <w:spacing w:before="0"/>
              <w:jc w:val="center"/>
              <w:rPr>
                <w:sz w:val="20"/>
              </w:rPr>
            </w:pPr>
            <w:r w:rsidRPr="0088203A">
              <w:rPr>
                <w:sz w:val="20"/>
              </w:rPr>
              <w:t>5.738**</w:t>
            </w:r>
            <w:r w:rsidRPr="0088203A">
              <w:rPr>
                <w:sz w:val="20"/>
              </w:rPr>
              <w:br/>
              <w:t>(2.577)</w:t>
            </w:r>
          </w:p>
        </w:tc>
        <w:tc>
          <w:tcPr>
            <w:tcW w:w="1693" w:type="dxa"/>
            <w:vAlign w:val="center"/>
          </w:tcPr>
          <w:p w14:paraId="71F7D1EF" w14:textId="77777777" w:rsidR="000303DE" w:rsidRPr="0088203A" w:rsidRDefault="000303DE" w:rsidP="00387AD6">
            <w:pPr>
              <w:spacing w:before="0"/>
              <w:jc w:val="center"/>
              <w:rPr>
                <w:sz w:val="20"/>
              </w:rPr>
            </w:pPr>
            <w:r w:rsidRPr="0088203A">
              <w:rPr>
                <w:sz w:val="20"/>
              </w:rPr>
              <w:t>7.862***</w:t>
            </w:r>
            <w:r w:rsidRPr="0088203A">
              <w:rPr>
                <w:sz w:val="20"/>
              </w:rPr>
              <w:br/>
              <w:t>(1.959)</w:t>
            </w:r>
          </w:p>
        </w:tc>
      </w:tr>
      <w:tr w:rsidR="000303DE" w:rsidRPr="0088203A" w14:paraId="79493821" w14:textId="77777777" w:rsidTr="000303DE">
        <w:trPr>
          <w:jc w:val="center"/>
        </w:trPr>
        <w:tc>
          <w:tcPr>
            <w:tcW w:w="1456" w:type="dxa"/>
            <w:vAlign w:val="center"/>
          </w:tcPr>
          <w:p w14:paraId="18E6D8C8" w14:textId="77777777" w:rsidR="000303DE" w:rsidRPr="0088203A" w:rsidRDefault="000303DE" w:rsidP="00387AD6">
            <w:pPr>
              <w:spacing w:before="0"/>
              <w:jc w:val="center"/>
              <w:rPr>
                <w:sz w:val="20"/>
              </w:rPr>
            </w:pPr>
            <w:r w:rsidRPr="0088203A">
              <w:rPr>
                <w:sz w:val="20"/>
              </w:rPr>
              <w:t>N obs</w:t>
            </w:r>
          </w:p>
        </w:tc>
        <w:tc>
          <w:tcPr>
            <w:tcW w:w="1693" w:type="dxa"/>
            <w:vAlign w:val="center"/>
          </w:tcPr>
          <w:p w14:paraId="6B1726C1" w14:textId="77777777" w:rsidR="000303DE" w:rsidRPr="0088203A" w:rsidRDefault="000303DE" w:rsidP="00387AD6">
            <w:pPr>
              <w:spacing w:before="0"/>
              <w:jc w:val="center"/>
              <w:rPr>
                <w:sz w:val="20"/>
              </w:rPr>
            </w:pPr>
            <w:r w:rsidRPr="0088203A">
              <w:rPr>
                <w:sz w:val="20"/>
              </w:rPr>
              <w:t>144</w:t>
            </w:r>
          </w:p>
        </w:tc>
        <w:tc>
          <w:tcPr>
            <w:tcW w:w="1476" w:type="dxa"/>
            <w:vAlign w:val="center"/>
          </w:tcPr>
          <w:p w14:paraId="7236997F" w14:textId="77777777" w:rsidR="000303DE" w:rsidRPr="0088203A" w:rsidRDefault="000303DE" w:rsidP="00387AD6">
            <w:pPr>
              <w:spacing w:before="0"/>
              <w:jc w:val="center"/>
              <w:rPr>
                <w:sz w:val="20"/>
              </w:rPr>
            </w:pPr>
            <w:r w:rsidRPr="0088203A">
              <w:rPr>
                <w:sz w:val="20"/>
              </w:rPr>
              <w:t>144</w:t>
            </w:r>
          </w:p>
        </w:tc>
        <w:tc>
          <w:tcPr>
            <w:tcW w:w="1620" w:type="dxa"/>
            <w:vAlign w:val="center"/>
          </w:tcPr>
          <w:p w14:paraId="33AB7FD2" w14:textId="77777777" w:rsidR="000303DE" w:rsidRPr="0088203A" w:rsidRDefault="000303DE" w:rsidP="00387AD6">
            <w:pPr>
              <w:spacing w:before="0"/>
              <w:jc w:val="center"/>
              <w:rPr>
                <w:sz w:val="20"/>
              </w:rPr>
            </w:pPr>
            <w:r w:rsidRPr="0088203A">
              <w:rPr>
                <w:sz w:val="20"/>
              </w:rPr>
              <w:t>144</w:t>
            </w:r>
          </w:p>
        </w:tc>
        <w:tc>
          <w:tcPr>
            <w:tcW w:w="1693" w:type="dxa"/>
            <w:vAlign w:val="center"/>
          </w:tcPr>
          <w:p w14:paraId="5553574E" w14:textId="77777777" w:rsidR="000303DE" w:rsidRPr="0088203A" w:rsidRDefault="000303DE" w:rsidP="00387AD6">
            <w:pPr>
              <w:spacing w:before="0"/>
              <w:jc w:val="center"/>
              <w:rPr>
                <w:sz w:val="20"/>
              </w:rPr>
            </w:pPr>
            <w:r w:rsidRPr="0088203A">
              <w:rPr>
                <w:sz w:val="20"/>
              </w:rPr>
              <w:t>144</w:t>
            </w:r>
          </w:p>
        </w:tc>
      </w:tr>
      <w:tr w:rsidR="000303DE" w:rsidRPr="0088203A" w14:paraId="48AFF817" w14:textId="77777777" w:rsidTr="000303DE">
        <w:trPr>
          <w:jc w:val="center"/>
        </w:trPr>
        <w:tc>
          <w:tcPr>
            <w:tcW w:w="1456" w:type="dxa"/>
            <w:tcBorders>
              <w:bottom w:val="single" w:sz="4" w:space="0" w:color="auto"/>
            </w:tcBorders>
            <w:vAlign w:val="center"/>
          </w:tcPr>
          <w:p w14:paraId="08FB404E" w14:textId="77777777" w:rsidR="000303DE" w:rsidRPr="0088203A" w:rsidRDefault="000303DE" w:rsidP="00387AD6">
            <w:pPr>
              <w:spacing w:before="0"/>
              <w:jc w:val="center"/>
              <w:rPr>
                <w:sz w:val="20"/>
              </w:rPr>
            </w:pPr>
            <w:r w:rsidRPr="0088203A">
              <w:rPr>
                <w:sz w:val="20"/>
              </w:rPr>
              <w:t>N firms</w:t>
            </w:r>
          </w:p>
        </w:tc>
        <w:tc>
          <w:tcPr>
            <w:tcW w:w="1693" w:type="dxa"/>
            <w:tcBorders>
              <w:bottom w:val="single" w:sz="4" w:space="0" w:color="auto"/>
            </w:tcBorders>
            <w:vAlign w:val="center"/>
          </w:tcPr>
          <w:p w14:paraId="29DE9C9F" w14:textId="77777777" w:rsidR="000303DE" w:rsidRPr="0088203A" w:rsidRDefault="000303DE" w:rsidP="00387AD6">
            <w:pPr>
              <w:spacing w:before="0"/>
              <w:jc w:val="center"/>
              <w:rPr>
                <w:sz w:val="20"/>
              </w:rPr>
            </w:pPr>
            <w:r w:rsidRPr="0088203A">
              <w:rPr>
                <w:sz w:val="20"/>
              </w:rPr>
              <w:t>18</w:t>
            </w:r>
          </w:p>
        </w:tc>
        <w:tc>
          <w:tcPr>
            <w:tcW w:w="1476" w:type="dxa"/>
            <w:tcBorders>
              <w:bottom w:val="single" w:sz="4" w:space="0" w:color="auto"/>
            </w:tcBorders>
            <w:vAlign w:val="center"/>
          </w:tcPr>
          <w:p w14:paraId="5C2B40A6" w14:textId="77777777" w:rsidR="000303DE" w:rsidRPr="0088203A" w:rsidRDefault="000303DE" w:rsidP="00387AD6">
            <w:pPr>
              <w:spacing w:before="0"/>
              <w:jc w:val="center"/>
              <w:rPr>
                <w:sz w:val="20"/>
              </w:rPr>
            </w:pPr>
            <w:r w:rsidRPr="0088203A">
              <w:rPr>
                <w:sz w:val="20"/>
              </w:rPr>
              <w:t>18</w:t>
            </w:r>
          </w:p>
        </w:tc>
        <w:tc>
          <w:tcPr>
            <w:tcW w:w="1620" w:type="dxa"/>
            <w:tcBorders>
              <w:bottom w:val="single" w:sz="4" w:space="0" w:color="auto"/>
            </w:tcBorders>
            <w:vAlign w:val="center"/>
          </w:tcPr>
          <w:p w14:paraId="025C05B0" w14:textId="77777777" w:rsidR="000303DE" w:rsidRPr="0088203A" w:rsidRDefault="000303DE" w:rsidP="00387AD6">
            <w:pPr>
              <w:spacing w:before="0"/>
              <w:jc w:val="center"/>
              <w:rPr>
                <w:sz w:val="20"/>
              </w:rPr>
            </w:pPr>
            <w:r w:rsidRPr="0088203A">
              <w:rPr>
                <w:sz w:val="20"/>
              </w:rPr>
              <w:t>18</w:t>
            </w:r>
          </w:p>
        </w:tc>
        <w:tc>
          <w:tcPr>
            <w:tcW w:w="1693" w:type="dxa"/>
            <w:tcBorders>
              <w:bottom w:val="single" w:sz="4" w:space="0" w:color="auto"/>
            </w:tcBorders>
            <w:vAlign w:val="center"/>
          </w:tcPr>
          <w:p w14:paraId="1F52DB33" w14:textId="77777777" w:rsidR="000303DE" w:rsidRPr="0088203A" w:rsidRDefault="000303DE" w:rsidP="00387AD6">
            <w:pPr>
              <w:spacing w:before="0"/>
              <w:jc w:val="center"/>
              <w:rPr>
                <w:sz w:val="20"/>
              </w:rPr>
            </w:pPr>
            <w:r w:rsidRPr="0088203A">
              <w:rPr>
                <w:sz w:val="20"/>
              </w:rPr>
              <w:t>18</w:t>
            </w:r>
          </w:p>
        </w:tc>
      </w:tr>
      <w:tr w:rsidR="000303DE" w:rsidRPr="0088203A" w14:paraId="7153C6D6" w14:textId="77777777" w:rsidTr="000303DE">
        <w:trPr>
          <w:jc w:val="center"/>
        </w:trPr>
        <w:tc>
          <w:tcPr>
            <w:tcW w:w="1456" w:type="dxa"/>
            <w:tcBorders>
              <w:top w:val="single" w:sz="4" w:space="0" w:color="auto"/>
              <w:bottom w:val="single" w:sz="4" w:space="0" w:color="auto"/>
            </w:tcBorders>
            <w:vAlign w:val="center"/>
          </w:tcPr>
          <w:p w14:paraId="21CD5C8E" w14:textId="77777777" w:rsidR="000303DE" w:rsidRPr="0088203A" w:rsidRDefault="000303DE" w:rsidP="00387AD6">
            <w:pPr>
              <w:spacing w:before="0"/>
              <w:jc w:val="center"/>
              <w:rPr>
                <w:sz w:val="20"/>
              </w:rPr>
            </w:pPr>
            <w:r w:rsidRPr="0088203A">
              <w:rPr>
                <w:sz w:val="20"/>
              </w:rPr>
              <w:t>R-squared</w:t>
            </w:r>
          </w:p>
        </w:tc>
        <w:tc>
          <w:tcPr>
            <w:tcW w:w="1693" w:type="dxa"/>
            <w:tcBorders>
              <w:top w:val="single" w:sz="4" w:space="0" w:color="auto"/>
              <w:bottom w:val="single" w:sz="4" w:space="0" w:color="auto"/>
            </w:tcBorders>
            <w:vAlign w:val="center"/>
          </w:tcPr>
          <w:p w14:paraId="5E647107" w14:textId="77777777" w:rsidR="000303DE" w:rsidRPr="0088203A" w:rsidRDefault="000303DE" w:rsidP="00387AD6">
            <w:pPr>
              <w:spacing w:before="0"/>
              <w:jc w:val="center"/>
              <w:rPr>
                <w:sz w:val="20"/>
              </w:rPr>
            </w:pPr>
            <w:r w:rsidRPr="0088203A">
              <w:rPr>
                <w:sz w:val="20"/>
              </w:rPr>
              <w:t>0.5125</w:t>
            </w:r>
          </w:p>
        </w:tc>
        <w:tc>
          <w:tcPr>
            <w:tcW w:w="1476" w:type="dxa"/>
            <w:tcBorders>
              <w:top w:val="single" w:sz="4" w:space="0" w:color="auto"/>
              <w:bottom w:val="single" w:sz="4" w:space="0" w:color="auto"/>
            </w:tcBorders>
            <w:vAlign w:val="center"/>
          </w:tcPr>
          <w:p w14:paraId="4E50F149" w14:textId="77777777" w:rsidR="000303DE" w:rsidRPr="0088203A" w:rsidRDefault="000303DE" w:rsidP="00387AD6">
            <w:pPr>
              <w:spacing w:before="0"/>
              <w:jc w:val="center"/>
              <w:rPr>
                <w:sz w:val="20"/>
              </w:rPr>
            </w:pPr>
            <w:r w:rsidRPr="0088203A">
              <w:rPr>
                <w:sz w:val="20"/>
              </w:rPr>
              <w:t>0.1918</w:t>
            </w:r>
          </w:p>
        </w:tc>
        <w:tc>
          <w:tcPr>
            <w:tcW w:w="1620" w:type="dxa"/>
            <w:tcBorders>
              <w:top w:val="single" w:sz="4" w:space="0" w:color="auto"/>
              <w:bottom w:val="single" w:sz="4" w:space="0" w:color="auto"/>
            </w:tcBorders>
            <w:vAlign w:val="center"/>
          </w:tcPr>
          <w:p w14:paraId="12454BE6" w14:textId="77777777" w:rsidR="000303DE" w:rsidRPr="0088203A" w:rsidRDefault="000303DE" w:rsidP="00387AD6">
            <w:pPr>
              <w:spacing w:before="0"/>
              <w:jc w:val="center"/>
              <w:rPr>
                <w:sz w:val="20"/>
              </w:rPr>
            </w:pPr>
            <w:r w:rsidRPr="0088203A">
              <w:rPr>
                <w:sz w:val="20"/>
              </w:rPr>
              <w:t>0.3648</w:t>
            </w:r>
          </w:p>
        </w:tc>
        <w:tc>
          <w:tcPr>
            <w:tcW w:w="1693" w:type="dxa"/>
            <w:tcBorders>
              <w:top w:val="single" w:sz="4" w:space="0" w:color="auto"/>
              <w:bottom w:val="single" w:sz="4" w:space="0" w:color="auto"/>
            </w:tcBorders>
            <w:vAlign w:val="center"/>
          </w:tcPr>
          <w:p w14:paraId="077D69E2" w14:textId="77777777" w:rsidR="000303DE" w:rsidRPr="0088203A" w:rsidRDefault="000303DE" w:rsidP="00387AD6">
            <w:pPr>
              <w:spacing w:before="0"/>
              <w:jc w:val="center"/>
              <w:rPr>
                <w:sz w:val="20"/>
              </w:rPr>
            </w:pPr>
          </w:p>
        </w:tc>
      </w:tr>
      <w:tr w:rsidR="000303DE" w:rsidRPr="0088203A" w14:paraId="3475ED6D" w14:textId="77777777" w:rsidTr="000303DE">
        <w:trPr>
          <w:jc w:val="center"/>
        </w:trPr>
        <w:tc>
          <w:tcPr>
            <w:tcW w:w="7938" w:type="dxa"/>
            <w:gridSpan w:val="5"/>
            <w:tcBorders>
              <w:top w:val="single" w:sz="4" w:space="0" w:color="auto"/>
              <w:bottom w:val="single" w:sz="4" w:space="0" w:color="auto"/>
            </w:tcBorders>
          </w:tcPr>
          <w:p w14:paraId="35FFE160" w14:textId="77777777" w:rsidR="000303DE" w:rsidRPr="0088203A" w:rsidRDefault="000303DE" w:rsidP="00387AD6">
            <w:pPr>
              <w:spacing w:before="0"/>
              <w:jc w:val="center"/>
              <w:rPr>
                <w:sz w:val="20"/>
              </w:rPr>
            </w:pPr>
            <w:r w:rsidRPr="0088203A">
              <w:rPr>
                <w:sz w:val="20"/>
              </w:rPr>
              <w:t>Chows Test- POLS vs FEM                   19.16 (0.0000)</w:t>
            </w:r>
          </w:p>
        </w:tc>
      </w:tr>
      <w:tr w:rsidR="000303DE" w:rsidRPr="0088203A" w14:paraId="5D3EE27D" w14:textId="77777777" w:rsidTr="000303DE">
        <w:trPr>
          <w:jc w:val="center"/>
        </w:trPr>
        <w:tc>
          <w:tcPr>
            <w:tcW w:w="7938" w:type="dxa"/>
            <w:gridSpan w:val="5"/>
            <w:tcBorders>
              <w:top w:val="single" w:sz="4" w:space="0" w:color="auto"/>
              <w:bottom w:val="single" w:sz="4" w:space="0" w:color="auto"/>
            </w:tcBorders>
          </w:tcPr>
          <w:p w14:paraId="2B22485D" w14:textId="77777777" w:rsidR="000303DE" w:rsidRPr="0088203A" w:rsidRDefault="000303DE" w:rsidP="00387AD6">
            <w:pPr>
              <w:spacing w:before="0"/>
              <w:jc w:val="center"/>
              <w:rPr>
                <w:sz w:val="20"/>
              </w:rPr>
            </w:pPr>
            <w:r w:rsidRPr="0088203A">
              <w:rPr>
                <w:sz w:val="20"/>
              </w:rPr>
              <w:t xml:space="preserve"> LM Test- POLS vs REM                        132.24 (0.0000)</w:t>
            </w:r>
          </w:p>
        </w:tc>
      </w:tr>
      <w:tr w:rsidR="000303DE" w:rsidRPr="0088203A" w14:paraId="6773D595" w14:textId="77777777" w:rsidTr="000303DE">
        <w:trPr>
          <w:jc w:val="center"/>
        </w:trPr>
        <w:tc>
          <w:tcPr>
            <w:tcW w:w="7938" w:type="dxa"/>
            <w:gridSpan w:val="5"/>
            <w:tcBorders>
              <w:top w:val="single" w:sz="4" w:space="0" w:color="auto"/>
              <w:bottom w:val="single" w:sz="4" w:space="0" w:color="auto"/>
            </w:tcBorders>
          </w:tcPr>
          <w:p w14:paraId="5083B2EC" w14:textId="77777777" w:rsidR="000303DE" w:rsidRPr="0088203A" w:rsidRDefault="000303DE" w:rsidP="00387AD6">
            <w:pPr>
              <w:spacing w:before="0"/>
              <w:jc w:val="center"/>
              <w:rPr>
                <w:sz w:val="20"/>
              </w:rPr>
            </w:pPr>
            <w:r w:rsidRPr="0088203A">
              <w:rPr>
                <w:sz w:val="20"/>
              </w:rPr>
              <w:t>Hausman Test- FEM vs REM                    27.73 (0.0005)</w:t>
            </w:r>
          </w:p>
        </w:tc>
      </w:tr>
      <w:tr w:rsidR="000303DE" w:rsidRPr="0088203A" w14:paraId="224BED11" w14:textId="77777777" w:rsidTr="000303DE">
        <w:trPr>
          <w:jc w:val="center"/>
        </w:trPr>
        <w:tc>
          <w:tcPr>
            <w:tcW w:w="7938" w:type="dxa"/>
            <w:gridSpan w:val="5"/>
            <w:tcBorders>
              <w:top w:val="single" w:sz="4" w:space="0" w:color="auto"/>
              <w:bottom w:val="single" w:sz="4" w:space="0" w:color="auto"/>
            </w:tcBorders>
          </w:tcPr>
          <w:p w14:paraId="61D5AAC4" w14:textId="77777777" w:rsidR="000303DE" w:rsidRPr="0088203A" w:rsidRDefault="000303DE" w:rsidP="00387AD6">
            <w:pPr>
              <w:spacing w:before="0"/>
              <w:rPr>
                <w:sz w:val="20"/>
              </w:rPr>
            </w:pPr>
            <w:r w:rsidRPr="0088203A">
              <w:rPr>
                <w:sz w:val="20"/>
              </w:rPr>
              <w:t xml:space="preserve">Fix effect model (FEM) is efficient over REM and POLS </w:t>
            </w:r>
          </w:p>
          <w:p w14:paraId="5D0501C9" w14:textId="77777777" w:rsidR="000303DE" w:rsidRPr="0088203A" w:rsidRDefault="000303DE" w:rsidP="00387AD6">
            <w:pPr>
              <w:spacing w:before="0"/>
              <w:rPr>
                <w:sz w:val="20"/>
              </w:rPr>
            </w:pPr>
            <w:r w:rsidRPr="0088203A">
              <w:rPr>
                <w:sz w:val="20"/>
              </w:rPr>
              <w:t xml:space="preserve">GLS is efficient after the corrected model </w:t>
            </w:r>
          </w:p>
          <w:p w14:paraId="24225B08" w14:textId="77777777" w:rsidR="000303DE" w:rsidRPr="0088203A" w:rsidRDefault="000303DE" w:rsidP="00387AD6">
            <w:pPr>
              <w:spacing w:before="0"/>
              <w:rPr>
                <w:sz w:val="20"/>
              </w:rPr>
            </w:pPr>
            <w:r w:rsidRPr="0088203A">
              <w:rPr>
                <w:sz w:val="20"/>
              </w:rPr>
              <w:t xml:space="preserve">***, **, * indicate the value is significant at 1%, 5%, and 10% level </w:t>
            </w:r>
          </w:p>
          <w:p w14:paraId="550B01AB" w14:textId="77777777" w:rsidR="000303DE" w:rsidRPr="0088203A" w:rsidRDefault="000303DE" w:rsidP="00387AD6">
            <w:pPr>
              <w:spacing w:before="0"/>
              <w:rPr>
                <w:sz w:val="20"/>
              </w:rPr>
            </w:pPr>
            <w:r w:rsidRPr="0088203A">
              <w:rPr>
                <w:bCs/>
                <w:sz w:val="20"/>
              </w:rPr>
              <w:t xml:space="preserve">*Refer to Table 1 for the notation of variables </w:t>
            </w:r>
          </w:p>
        </w:tc>
      </w:tr>
    </w:tbl>
    <w:p w14:paraId="4F3857F5" w14:textId="77777777" w:rsidR="0088203A" w:rsidRDefault="0088203A" w:rsidP="000303DE">
      <w:pPr>
        <w:ind w:firstLine="180"/>
        <w:rPr>
          <w:i/>
          <w:iCs/>
          <w:sz w:val="20"/>
        </w:rPr>
        <w:sectPr w:rsidR="0088203A" w:rsidSect="0088203A">
          <w:type w:val="continuous"/>
          <w:pgSz w:w="11907" w:h="16840" w:code="9"/>
          <w:pgMar w:top="2268" w:right="1701" w:bottom="1701" w:left="2268" w:header="454" w:footer="567" w:gutter="0"/>
          <w:pgNumType w:start="27"/>
          <w:cols w:space="709"/>
          <w:docGrid w:linePitch="326"/>
        </w:sectPr>
      </w:pPr>
    </w:p>
    <w:p w14:paraId="55D266E3" w14:textId="77777777" w:rsidR="000303DE" w:rsidRPr="0088203A" w:rsidRDefault="000303DE" w:rsidP="000303DE">
      <w:pPr>
        <w:ind w:firstLine="180"/>
        <w:rPr>
          <w:i/>
          <w:iCs/>
          <w:sz w:val="20"/>
        </w:rPr>
      </w:pPr>
      <w:r w:rsidRPr="0088203A">
        <w:rPr>
          <w:i/>
          <w:iCs/>
          <w:sz w:val="20"/>
        </w:rPr>
        <w:t xml:space="preserve">Source: Stata 19 data output </w:t>
      </w:r>
    </w:p>
    <w:p w14:paraId="01D48673" w14:textId="77777777" w:rsidR="0088203A" w:rsidRDefault="0088203A" w:rsidP="000303DE">
      <w:pPr>
        <w:spacing w:line="276" w:lineRule="auto"/>
        <w:ind w:firstLine="720"/>
      </w:pPr>
    </w:p>
    <w:p w14:paraId="0E4A27B3" w14:textId="77777777" w:rsidR="0088203A" w:rsidRDefault="0088203A" w:rsidP="000303DE">
      <w:pPr>
        <w:spacing w:line="276" w:lineRule="auto"/>
        <w:ind w:firstLine="720"/>
        <w:sectPr w:rsidR="0088203A" w:rsidSect="0088203A">
          <w:type w:val="continuous"/>
          <w:pgSz w:w="11907" w:h="16840" w:code="9"/>
          <w:pgMar w:top="2268" w:right="1701" w:bottom="1701" w:left="2268" w:header="454" w:footer="567" w:gutter="0"/>
          <w:pgNumType w:start="27"/>
          <w:cols w:space="709"/>
          <w:docGrid w:linePitch="326"/>
        </w:sectPr>
      </w:pPr>
    </w:p>
    <w:p w14:paraId="03C1F7C6" w14:textId="77777777" w:rsidR="000303DE" w:rsidRPr="0088203A" w:rsidRDefault="000303DE" w:rsidP="000303DE">
      <w:pPr>
        <w:spacing w:line="276" w:lineRule="auto"/>
        <w:ind w:firstLine="720"/>
      </w:pPr>
      <w:r w:rsidRPr="0088203A">
        <w:t xml:space="preserve">Table 3 presents the panel data estimation results using POLS, FEM, REM, and GLS. Focusing on the Fixed Effect Model (FEM), ESG has a positive and significant effect on </w:t>
      </w:r>
      <w:r w:rsidRPr="0088203A">
        <w:t xml:space="preserve">firm value, with a coefficient of 0.103 at the 5% significance level. This indicates that better ESG performance tends to increase firm value. Green innovation also shows a positive and </w:t>
      </w:r>
      <w:r w:rsidRPr="0088203A">
        <w:lastRenderedPageBreak/>
        <w:t xml:space="preserve">significant effect, with a coefficient of 0.0365 at the 10% significance level, suggesting that firms with stronger green innovation practices are more likely to achieve higher firm value. In addition, the interaction variable between green innovation and ESG (MESG) is positive and significant, with a coefficient of 0.00123 at the 5% level, indicating that green innovation strengthens the relationship between ESG performance and firm value. However, SRI, the interaction between green innovation and SRI (MSRI), and firm size are not statistically significant in the FEM estimation. This implies that SRI does not directly influence firm value, green innovation does not significantly moderate the relationship between SRI and firm value, and firm size does not have a significant effect on firm value in this model. The FEM model also has an </w:t>
      </w:r>
      <w:r w:rsidRPr="0088203A">
        <w:t xml:space="preserve">R-squared value of 0.1918, indicating that the independent variables explain approximately 19.18% of the variation in firm value. </w:t>
      </w:r>
    </w:p>
    <w:p w14:paraId="434B0A39" w14:textId="77777777" w:rsidR="000303DE" w:rsidRPr="0088203A" w:rsidRDefault="000303DE" w:rsidP="000303DE">
      <w:pPr>
        <w:spacing w:line="276" w:lineRule="auto"/>
        <w:ind w:firstLine="720"/>
      </w:pPr>
      <w:r w:rsidRPr="0088203A">
        <w:t xml:space="preserve">Furthermore, the corrected GLS model is applied to improve the robustness of the estimation results, particularly in addressing potential heteroskedasticity and autocorrelation problems in the panel data. The GLS results confirm that ESG, green innovation, MESG, and firm size remain positive and statistically significant, while SRI and MSRI remain insignificant. This consistency indicates that the main findings are robust after correcting the model. Therefore, the results suggest that firm value is mainly driven by ESG performance, green innovation, and the moderating role of green innovation in strengthening the ESG–firm value relationship. </w:t>
      </w:r>
    </w:p>
    <w:p w14:paraId="4DE1C489" w14:textId="77777777" w:rsidR="0088203A" w:rsidRDefault="0088203A" w:rsidP="000303DE">
      <w:pPr>
        <w:spacing w:before="0"/>
        <w:jc w:val="center"/>
        <w:rPr>
          <w:i/>
          <w:iCs/>
          <w:sz w:val="20"/>
        </w:rPr>
        <w:sectPr w:rsidR="0088203A" w:rsidSect="00232D95">
          <w:type w:val="continuous"/>
          <w:pgSz w:w="11907" w:h="16840" w:code="9"/>
          <w:pgMar w:top="2268" w:right="1701" w:bottom="1701" w:left="2268" w:header="454" w:footer="567" w:gutter="0"/>
          <w:pgNumType w:start="175"/>
          <w:cols w:num="2" w:space="709"/>
          <w:docGrid w:linePitch="326"/>
        </w:sectPr>
      </w:pPr>
    </w:p>
    <w:p w14:paraId="30D3F564" w14:textId="77777777" w:rsidR="000303DE" w:rsidRPr="0088203A" w:rsidRDefault="000303DE" w:rsidP="000303DE">
      <w:pPr>
        <w:spacing w:before="0"/>
        <w:jc w:val="center"/>
        <w:rPr>
          <w:i/>
          <w:iCs/>
          <w:sz w:val="20"/>
        </w:rPr>
      </w:pPr>
      <w:r w:rsidRPr="0088203A">
        <w:rPr>
          <w:i/>
          <w:iCs/>
          <w:sz w:val="20"/>
        </w:rPr>
        <w:t xml:space="preserve">Table 4 </w:t>
      </w:r>
    </w:p>
    <w:p w14:paraId="4E79B825" w14:textId="77777777" w:rsidR="000303DE" w:rsidRPr="0088203A" w:rsidRDefault="000303DE" w:rsidP="000303DE">
      <w:pPr>
        <w:spacing w:before="0" w:after="240"/>
        <w:jc w:val="center"/>
        <w:rPr>
          <w:i/>
          <w:iCs/>
        </w:rPr>
      </w:pPr>
      <w:r w:rsidRPr="0088203A">
        <w:rPr>
          <w:i/>
          <w:iCs/>
          <w:sz w:val="20"/>
        </w:rPr>
        <w:t>Statistic MRA</w:t>
      </w:r>
      <w:r w:rsidRPr="0088203A">
        <w:rPr>
          <w:i/>
          <w:iCs/>
        </w:rPr>
        <w:t xml:space="preserve"> </w:t>
      </w:r>
    </w:p>
    <w:tbl>
      <w:tblPr>
        <w:tblW w:w="0" w:type="auto"/>
        <w:jc w:val="center"/>
        <w:tblLook w:val="04A0" w:firstRow="1" w:lastRow="0" w:firstColumn="1" w:lastColumn="0" w:noHBand="0" w:noVBand="1"/>
      </w:tblPr>
      <w:tblGrid>
        <w:gridCol w:w="1294"/>
        <w:gridCol w:w="1843"/>
        <w:gridCol w:w="883"/>
        <w:gridCol w:w="1110"/>
      </w:tblGrid>
      <w:tr w:rsidR="000303DE" w:rsidRPr="0088203A" w14:paraId="130B484B" w14:textId="77777777" w:rsidTr="00281604">
        <w:trPr>
          <w:trHeight w:val="305"/>
          <w:tblHeader/>
          <w:jc w:val="center"/>
        </w:trPr>
        <w:tc>
          <w:tcPr>
            <w:tcW w:w="1294" w:type="dxa"/>
            <w:tcBorders>
              <w:top w:val="single" w:sz="8" w:space="0" w:color="666666"/>
              <w:left w:val="nil"/>
              <w:bottom w:val="single" w:sz="8" w:space="0" w:color="666666"/>
              <w:right w:val="nil"/>
            </w:tcBorders>
            <w:shd w:val="clear" w:color="auto" w:fill="F2F2F2"/>
            <w:vAlign w:val="center"/>
          </w:tcPr>
          <w:p w14:paraId="2E9A53D6" w14:textId="77777777" w:rsidR="000303DE" w:rsidRPr="0088203A" w:rsidRDefault="000303DE" w:rsidP="000303DE">
            <w:pPr>
              <w:spacing w:before="0"/>
              <w:jc w:val="center"/>
              <w:rPr>
                <w:sz w:val="20"/>
              </w:rPr>
            </w:pPr>
            <w:r w:rsidRPr="0088203A">
              <w:rPr>
                <w:b/>
                <w:sz w:val="20"/>
              </w:rPr>
              <w:t>Variable</w:t>
            </w:r>
          </w:p>
        </w:tc>
        <w:tc>
          <w:tcPr>
            <w:tcW w:w="1843" w:type="dxa"/>
            <w:tcBorders>
              <w:top w:val="single" w:sz="8" w:space="0" w:color="666666"/>
              <w:left w:val="nil"/>
              <w:bottom w:val="single" w:sz="8" w:space="0" w:color="666666"/>
              <w:right w:val="nil"/>
            </w:tcBorders>
            <w:shd w:val="clear" w:color="auto" w:fill="F2F2F2"/>
            <w:vAlign w:val="center"/>
          </w:tcPr>
          <w:p w14:paraId="718EFDE6" w14:textId="77777777" w:rsidR="000303DE" w:rsidRPr="0088203A" w:rsidRDefault="000303DE" w:rsidP="000303DE">
            <w:pPr>
              <w:spacing w:before="0"/>
              <w:jc w:val="center"/>
              <w:rPr>
                <w:sz w:val="20"/>
              </w:rPr>
            </w:pPr>
            <w:r w:rsidRPr="0088203A">
              <w:rPr>
                <w:b/>
                <w:sz w:val="20"/>
              </w:rPr>
              <w:t>Coefficient</w:t>
            </w:r>
          </w:p>
        </w:tc>
        <w:tc>
          <w:tcPr>
            <w:tcW w:w="883" w:type="dxa"/>
            <w:tcBorders>
              <w:top w:val="single" w:sz="8" w:space="0" w:color="666666"/>
              <w:left w:val="nil"/>
              <w:bottom w:val="single" w:sz="8" w:space="0" w:color="666666"/>
              <w:right w:val="nil"/>
            </w:tcBorders>
            <w:shd w:val="clear" w:color="auto" w:fill="F2F2F2"/>
            <w:vAlign w:val="center"/>
          </w:tcPr>
          <w:p w14:paraId="15AF537F" w14:textId="77777777" w:rsidR="000303DE" w:rsidRPr="0088203A" w:rsidRDefault="000303DE" w:rsidP="000303DE">
            <w:pPr>
              <w:spacing w:before="0"/>
              <w:jc w:val="center"/>
              <w:rPr>
                <w:sz w:val="20"/>
              </w:rPr>
            </w:pPr>
            <w:r w:rsidRPr="0088203A">
              <w:rPr>
                <w:b/>
                <w:sz w:val="20"/>
              </w:rPr>
              <w:t>z</w:t>
            </w:r>
          </w:p>
        </w:tc>
        <w:tc>
          <w:tcPr>
            <w:tcW w:w="1110" w:type="dxa"/>
            <w:tcBorders>
              <w:top w:val="single" w:sz="8" w:space="0" w:color="666666"/>
              <w:left w:val="nil"/>
              <w:bottom w:val="single" w:sz="8" w:space="0" w:color="666666"/>
              <w:right w:val="nil"/>
            </w:tcBorders>
            <w:shd w:val="clear" w:color="auto" w:fill="F2F2F2"/>
            <w:vAlign w:val="center"/>
          </w:tcPr>
          <w:p w14:paraId="0222FB31" w14:textId="77777777" w:rsidR="000303DE" w:rsidRPr="0088203A" w:rsidRDefault="000303DE" w:rsidP="000303DE">
            <w:pPr>
              <w:spacing w:before="0"/>
              <w:jc w:val="center"/>
              <w:rPr>
                <w:sz w:val="20"/>
              </w:rPr>
            </w:pPr>
            <w:r w:rsidRPr="0088203A">
              <w:rPr>
                <w:b/>
                <w:sz w:val="20"/>
              </w:rPr>
              <w:t>P&gt;|z|</w:t>
            </w:r>
          </w:p>
        </w:tc>
      </w:tr>
      <w:tr w:rsidR="000303DE" w:rsidRPr="0088203A" w14:paraId="380BDA3B" w14:textId="77777777" w:rsidTr="00281604">
        <w:trPr>
          <w:trHeight w:val="305"/>
          <w:jc w:val="center"/>
        </w:trPr>
        <w:tc>
          <w:tcPr>
            <w:tcW w:w="1294" w:type="dxa"/>
            <w:tcBorders>
              <w:top w:val="nil"/>
              <w:left w:val="nil"/>
              <w:bottom w:val="nil"/>
              <w:right w:val="nil"/>
            </w:tcBorders>
            <w:vAlign w:val="center"/>
          </w:tcPr>
          <w:p w14:paraId="32E10F49" w14:textId="77777777" w:rsidR="000303DE" w:rsidRPr="0088203A" w:rsidRDefault="000303DE" w:rsidP="000303DE">
            <w:pPr>
              <w:spacing w:before="0"/>
              <w:rPr>
                <w:sz w:val="20"/>
              </w:rPr>
            </w:pPr>
            <w:r w:rsidRPr="0088203A">
              <w:rPr>
                <w:b/>
                <w:sz w:val="20"/>
              </w:rPr>
              <w:t>ESG</w:t>
            </w:r>
          </w:p>
        </w:tc>
        <w:tc>
          <w:tcPr>
            <w:tcW w:w="1843" w:type="dxa"/>
            <w:tcBorders>
              <w:top w:val="nil"/>
              <w:left w:val="nil"/>
              <w:bottom w:val="nil"/>
              <w:right w:val="nil"/>
            </w:tcBorders>
            <w:vAlign w:val="center"/>
          </w:tcPr>
          <w:p w14:paraId="7F142A2C" w14:textId="77777777" w:rsidR="000303DE" w:rsidRPr="0088203A" w:rsidRDefault="000303DE" w:rsidP="000303DE">
            <w:pPr>
              <w:spacing w:before="0"/>
              <w:jc w:val="center"/>
              <w:rPr>
                <w:sz w:val="20"/>
              </w:rPr>
            </w:pPr>
            <w:r w:rsidRPr="0088203A">
              <w:rPr>
                <w:sz w:val="20"/>
              </w:rPr>
              <w:t>0.1087779</w:t>
            </w:r>
          </w:p>
        </w:tc>
        <w:tc>
          <w:tcPr>
            <w:tcW w:w="883" w:type="dxa"/>
            <w:tcBorders>
              <w:top w:val="nil"/>
              <w:left w:val="nil"/>
              <w:bottom w:val="nil"/>
              <w:right w:val="nil"/>
            </w:tcBorders>
            <w:vAlign w:val="center"/>
          </w:tcPr>
          <w:p w14:paraId="43A2E534" w14:textId="77777777" w:rsidR="000303DE" w:rsidRPr="0088203A" w:rsidRDefault="000303DE" w:rsidP="000303DE">
            <w:pPr>
              <w:spacing w:before="0"/>
              <w:jc w:val="center"/>
              <w:rPr>
                <w:sz w:val="20"/>
              </w:rPr>
            </w:pPr>
            <w:r w:rsidRPr="0088203A">
              <w:rPr>
                <w:sz w:val="20"/>
              </w:rPr>
              <w:t>2.31</w:t>
            </w:r>
          </w:p>
        </w:tc>
        <w:tc>
          <w:tcPr>
            <w:tcW w:w="1110" w:type="dxa"/>
            <w:tcBorders>
              <w:top w:val="nil"/>
              <w:left w:val="nil"/>
              <w:bottom w:val="nil"/>
              <w:right w:val="nil"/>
            </w:tcBorders>
            <w:vAlign w:val="center"/>
          </w:tcPr>
          <w:p w14:paraId="5B3FC23F" w14:textId="77777777" w:rsidR="000303DE" w:rsidRPr="0088203A" w:rsidRDefault="000303DE" w:rsidP="000303DE">
            <w:pPr>
              <w:spacing w:before="0"/>
              <w:jc w:val="center"/>
              <w:rPr>
                <w:sz w:val="20"/>
              </w:rPr>
            </w:pPr>
            <w:r w:rsidRPr="0088203A">
              <w:rPr>
                <w:sz w:val="20"/>
              </w:rPr>
              <w:t>0.021</w:t>
            </w:r>
          </w:p>
        </w:tc>
      </w:tr>
      <w:tr w:rsidR="000303DE" w:rsidRPr="0088203A" w14:paraId="7FCAAF58" w14:textId="77777777" w:rsidTr="00281604">
        <w:trPr>
          <w:trHeight w:val="305"/>
          <w:jc w:val="center"/>
        </w:trPr>
        <w:tc>
          <w:tcPr>
            <w:tcW w:w="1294" w:type="dxa"/>
            <w:tcBorders>
              <w:top w:val="nil"/>
              <w:left w:val="nil"/>
              <w:bottom w:val="nil"/>
              <w:right w:val="nil"/>
            </w:tcBorders>
            <w:vAlign w:val="center"/>
          </w:tcPr>
          <w:p w14:paraId="39BFE020" w14:textId="77777777" w:rsidR="000303DE" w:rsidRPr="0088203A" w:rsidRDefault="000303DE" w:rsidP="000303DE">
            <w:pPr>
              <w:spacing w:before="0"/>
              <w:rPr>
                <w:sz w:val="20"/>
              </w:rPr>
            </w:pPr>
            <w:r w:rsidRPr="0088203A">
              <w:rPr>
                <w:b/>
                <w:sz w:val="20"/>
              </w:rPr>
              <w:t>SRI</w:t>
            </w:r>
          </w:p>
        </w:tc>
        <w:tc>
          <w:tcPr>
            <w:tcW w:w="1843" w:type="dxa"/>
            <w:tcBorders>
              <w:top w:val="nil"/>
              <w:left w:val="nil"/>
              <w:bottom w:val="nil"/>
              <w:right w:val="nil"/>
            </w:tcBorders>
            <w:vAlign w:val="center"/>
          </w:tcPr>
          <w:p w14:paraId="11060B89" w14:textId="77777777" w:rsidR="000303DE" w:rsidRPr="0088203A" w:rsidRDefault="000303DE" w:rsidP="000303DE">
            <w:pPr>
              <w:spacing w:before="0"/>
              <w:jc w:val="center"/>
              <w:rPr>
                <w:sz w:val="20"/>
              </w:rPr>
            </w:pPr>
            <w:r w:rsidRPr="0088203A">
              <w:rPr>
                <w:sz w:val="20"/>
              </w:rPr>
              <w:t>-0.0005416</w:t>
            </w:r>
          </w:p>
        </w:tc>
        <w:tc>
          <w:tcPr>
            <w:tcW w:w="883" w:type="dxa"/>
            <w:tcBorders>
              <w:top w:val="nil"/>
              <w:left w:val="nil"/>
              <w:bottom w:val="nil"/>
              <w:right w:val="nil"/>
            </w:tcBorders>
            <w:vAlign w:val="center"/>
          </w:tcPr>
          <w:p w14:paraId="2FF54D6E" w14:textId="77777777" w:rsidR="000303DE" w:rsidRPr="0088203A" w:rsidRDefault="000303DE" w:rsidP="000303DE">
            <w:pPr>
              <w:spacing w:before="0"/>
              <w:jc w:val="center"/>
              <w:rPr>
                <w:sz w:val="20"/>
              </w:rPr>
            </w:pPr>
            <w:r w:rsidRPr="0088203A">
              <w:rPr>
                <w:sz w:val="20"/>
              </w:rPr>
              <w:t>-0.02</w:t>
            </w:r>
          </w:p>
        </w:tc>
        <w:tc>
          <w:tcPr>
            <w:tcW w:w="1110" w:type="dxa"/>
            <w:tcBorders>
              <w:top w:val="nil"/>
              <w:left w:val="nil"/>
              <w:bottom w:val="nil"/>
              <w:right w:val="nil"/>
            </w:tcBorders>
            <w:vAlign w:val="center"/>
          </w:tcPr>
          <w:p w14:paraId="70A83373" w14:textId="77777777" w:rsidR="000303DE" w:rsidRPr="0088203A" w:rsidRDefault="000303DE" w:rsidP="000303DE">
            <w:pPr>
              <w:spacing w:before="0"/>
              <w:jc w:val="center"/>
              <w:rPr>
                <w:sz w:val="20"/>
              </w:rPr>
            </w:pPr>
            <w:r w:rsidRPr="0088203A">
              <w:rPr>
                <w:sz w:val="20"/>
              </w:rPr>
              <w:t>0.981</w:t>
            </w:r>
          </w:p>
        </w:tc>
      </w:tr>
      <w:tr w:rsidR="000303DE" w:rsidRPr="0088203A" w14:paraId="46217976" w14:textId="77777777" w:rsidTr="00281604">
        <w:trPr>
          <w:trHeight w:val="288"/>
          <w:jc w:val="center"/>
        </w:trPr>
        <w:tc>
          <w:tcPr>
            <w:tcW w:w="1294" w:type="dxa"/>
            <w:tcBorders>
              <w:top w:val="nil"/>
              <w:left w:val="nil"/>
              <w:bottom w:val="nil"/>
              <w:right w:val="nil"/>
            </w:tcBorders>
            <w:vAlign w:val="center"/>
          </w:tcPr>
          <w:p w14:paraId="1DB5CAD1" w14:textId="77777777" w:rsidR="000303DE" w:rsidRPr="0088203A" w:rsidRDefault="000303DE" w:rsidP="000303DE">
            <w:pPr>
              <w:spacing w:before="0"/>
              <w:rPr>
                <w:sz w:val="20"/>
              </w:rPr>
            </w:pPr>
            <w:r w:rsidRPr="0088203A">
              <w:rPr>
                <w:b/>
                <w:sz w:val="20"/>
              </w:rPr>
              <w:t>GIN</w:t>
            </w:r>
          </w:p>
        </w:tc>
        <w:tc>
          <w:tcPr>
            <w:tcW w:w="1843" w:type="dxa"/>
            <w:tcBorders>
              <w:top w:val="nil"/>
              <w:left w:val="nil"/>
              <w:bottom w:val="nil"/>
              <w:right w:val="nil"/>
            </w:tcBorders>
            <w:vAlign w:val="center"/>
          </w:tcPr>
          <w:p w14:paraId="6232738A" w14:textId="77777777" w:rsidR="000303DE" w:rsidRPr="0088203A" w:rsidRDefault="000303DE" w:rsidP="000303DE">
            <w:pPr>
              <w:spacing w:before="0"/>
              <w:jc w:val="center"/>
              <w:rPr>
                <w:sz w:val="20"/>
              </w:rPr>
            </w:pPr>
            <w:r w:rsidRPr="0088203A">
              <w:rPr>
                <w:sz w:val="20"/>
              </w:rPr>
              <w:t>0.138621</w:t>
            </w:r>
          </w:p>
        </w:tc>
        <w:tc>
          <w:tcPr>
            <w:tcW w:w="883" w:type="dxa"/>
            <w:tcBorders>
              <w:top w:val="nil"/>
              <w:left w:val="nil"/>
              <w:bottom w:val="nil"/>
              <w:right w:val="nil"/>
            </w:tcBorders>
            <w:vAlign w:val="center"/>
          </w:tcPr>
          <w:p w14:paraId="44875724" w14:textId="77777777" w:rsidR="000303DE" w:rsidRPr="0088203A" w:rsidRDefault="000303DE" w:rsidP="000303DE">
            <w:pPr>
              <w:spacing w:before="0"/>
              <w:jc w:val="center"/>
              <w:rPr>
                <w:sz w:val="20"/>
              </w:rPr>
            </w:pPr>
            <w:r w:rsidRPr="0088203A">
              <w:rPr>
                <w:sz w:val="20"/>
              </w:rPr>
              <w:t>5.87</w:t>
            </w:r>
          </w:p>
        </w:tc>
        <w:tc>
          <w:tcPr>
            <w:tcW w:w="1110" w:type="dxa"/>
            <w:tcBorders>
              <w:top w:val="nil"/>
              <w:left w:val="nil"/>
              <w:bottom w:val="nil"/>
              <w:right w:val="nil"/>
            </w:tcBorders>
            <w:vAlign w:val="center"/>
          </w:tcPr>
          <w:p w14:paraId="1726CA09" w14:textId="77777777" w:rsidR="000303DE" w:rsidRPr="0088203A" w:rsidRDefault="000303DE" w:rsidP="000303DE">
            <w:pPr>
              <w:spacing w:before="0"/>
              <w:jc w:val="center"/>
              <w:rPr>
                <w:sz w:val="20"/>
              </w:rPr>
            </w:pPr>
            <w:r w:rsidRPr="0088203A">
              <w:rPr>
                <w:sz w:val="20"/>
              </w:rPr>
              <w:t>0.000</w:t>
            </w:r>
          </w:p>
        </w:tc>
      </w:tr>
      <w:tr w:rsidR="000303DE" w:rsidRPr="0088203A" w14:paraId="0D951F74" w14:textId="77777777" w:rsidTr="00281604">
        <w:trPr>
          <w:trHeight w:val="305"/>
          <w:jc w:val="center"/>
        </w:trPr>
        <w:tc>
          <w:tcPr>
            <w:tcW w:w="1294" w:type="dxa"/>
            <w:tcBorders>
              <w:top w:val="nil"/>
              <w:left w:val="nil"/>
              <w:bottom w:val="nil"/>
              <w:right w:val="nil"/>
            </w:tcBorders>
            <w:vAlign w:val="center"/>
          </w:tcPr>
          <w:p w14:paraId="0D3D7492" w14:textId="77777777" w:rsidR="000303DE" w:rsidRPr="0088203A" w:rsidRDefault="000303DE" w:rsidP="000303DE">
            <w:pPr>
              <w:spacing w:before="0"/>
              <w:rPr>
                <w:sz w:val="20"/>
              </w:rPr>
            </w:pPr>
            <w:r w:rsidRPr="0088203A">
              <w:rPr>
                <w:b/>
                <w:sz w:val="20"/>
              </w:rPr>
              <w:t>MESG</w:t>
            </w:r>
          </w:p>
        </w:tc>
        <w:tc>
          <w:tcPr>
            <w:tcW w:w="1843" w:type="dxa"/>
            <w:tcBorders>
              <w:top w:val="nil"/>
              <w:left w:val="nil"/>
              <w:bottom w:val="nil"/>
              <w:right w:val="nil"/>
            </w:tcBorders>
            <w:vAlign w:val="center"/>
          </w:tcPr>
          <w:p w14:paraId="09ADAA35" w14:textId="77777777" w:rsidR="000303DE" w:rsidRPr="0088203A" w:rsidRDefault="000303DE" w:rsidP="000303DE">
            <w:pPr>
              <w:spacing w:before="0"/>
              <w:jc w:val="center"/>
              <w:rPr>
                <w:sz w:val="20"/>
              </w:rPr>
            </w:pPr>
            <w:r w:rsidRPr="0088203A">
              <w:rPr>
                <w:sz w:val="20"/>
              </w:rPr>
              <w:t>0.0024591</w:t>
            </w:r>
          </w:p>
        </w:tc>
        <w:tc>
          <w:tcPr>
            <w:tcW w:w="883" w:type="dxa"/>
            <w:tcBorders>
              <w:top w:val="nil"/>
              <w:left w:val="nil"/>
              <w:bottom w:val="nil"/>
              <w:right w:val="nil"/>
            </w:tcBorders>
            <w:vAlign w:val="center"/>
          </w:tcPr>
          <w:p w14:paraId="66676A53" w14:textId="77777777" w:rsidR="000303DE" w:rsidRPr="0088203A" w:rsidRDefault="000303DE" w:rsidP="000303DE">
            <w:pPr>
              <w:spacing w:before="0"/>
              <w:jc w:val="center"/>
              <w:rPr>
                <w:sz w:val="20"/>
              </w:rPr>
            </w:pPr>
            <w:r w:rsidRPr="0088203A">
              <w:rPr>
                <w:sz w:val="20"/>
              </w:rPr>
              <w:t>3.31</w:t>
            </w:r>
          </w:p>
        </w:tc>
        <w:tc>
          <w:tcPr>
            <w:tcW w:w="1110" w:type="dxa"/>
            <w:tcBorders>
              <w:top w:val="nil"/>
              <w:left w:val="nil"/>
              <w:bottom w:val="nil"/>
              <w:right w:val="nil"/>
            </w:tcBorders>
            <w:vAlign w:val="center"/>
          </w:tcPr>
          <w:p w14:paraId="2866DF66" w14:textId="77777777" w:rsidR="000303DE" w:rsidRPr="0088203A" w:rsidRDefault="000303DE" w:rsidP="000303DE">
            <w:pPr>
              <w:spacing w:before="0"/>
              <w:jc w:val="center"/>
              <w:rPr>
                <w:sz w:val="20"/>
              </w:rPr>
            </w:pPr>
            <w:r w:rsidRPr="0088203A">
              <w:rPr>
                <w:sz w:val="20"/>
              </w:rPr>
              <w:t>0.001</w:t>
            </w:r>
          </w:p>
        </w:tc>
      </w:tr>
      <w:tr w:rsidR="000303DE" w:rsidRPr="0088203A" w14:paraId="0C8FBC22" w14:textId="77777777" w:rsidTr="00281604">
        <w:trPr>
          <w:trHeight w:val="288"/>
          <w:jc w:val="center"/>
        </w:trPr>
        <w:tc>
          <w:tcPr>
            <w:tcW w:w="1294" w:type="dxa"/>
            <w:tcBorders>
              <w:top w:val="nil"/>
              <w:left w:val="nil"/>
              <w:bottom w:val="nil"/>
              <w:right w:val="nil"/>
            </w:tcBorders>
            <w:vAlign w:val="center"/>
          </w:tcPr>
          <w:p w14:paraId="2CE45EFD" w14:textId="77777777" w:rsidR="000303DE" w:rsidRPr="0088203A" w:rsidRDefault="000303DE" w:rsidP="000303DE">
            <w:pPr>
              <w:spacing w:before="0"/>
              <w:rPr>
                <w:sz w:val="20"/>
              </w:rPr>
            </w:pPr>
            <w:r w:rsidRPr="0088203A">
              <w:rPr>
                <w:b/>
                <w:sz w:val="20"/>
              </w:rPr>
              <w:t>MSRI</w:t>
            </w:r>
          </w:p>
        </w:tc>
        <w:tc>
          <w:tcPr>
            <w:tcW w:w="1843" w:type="dxa"/>
            <w:tcBorders>
              <w:top w:val="nil"/>
              <w:left w:val="nil"/>
              <w:bottom w:val="nil"/>
              <w:right w:val="nil"/>
            </w:tcBorders>
            <w:vAlign w:val="center"/>
          </w:tcPr>
          <w:p w14:paraId="501CCC14" w14:textId="77777777" w:rsidR="000303DE" w:rsidRPr="0088203A" w:rsidRDefault="000303DE" w:rsidP="000303DE">
            <w:pPr>
              <w:spacing w:before="0"/>
              <w:jc w:val="center"/>
              <w:rPr>
                <w:sz w:val="20"/>
              </w:rPr>
            </w:pPr>
            <w:r w:rsidRPr="0088203A">
              <w:rPr>
                <w:sz w:val="20"/>
              </w:rPr>
              <w:t>0.0000870</w:t>
            </w:r>
          </w:p>
        </w:tc>
        <w:tc>
          <w:tcPr>
            <w:tcW w:w="883" w:type="dxa"/>
            <w:tcBorders>
              <w:top w:val="nil"/>
              <w:left w:val="nil"/>
              <w:bottom w:val="nil"/>
              <w:right w:val="nil"/>
            </w:tcBorders>
            <w:vAlign w:val="center"/>
          </w:tcPr>
          <w:p w14:paraId="7BCDEFA2" w14:textId="77777777" w:rsidR="000303DE" w:rsidRPr="0088203A" w:rsidRDefault="000303DE" w:rsidP="000303DE">
            <w:pPr>
              <w:spacing w:before="0"/>
              <w:jc w:val="center"/>
              <w:rPr>
                <w:sz w:val="20"/>
              </w:rPr>
            </w:pPr>
            <w:r w:rsidRPr="0088203A">
              <w:rPr>
                <w:sz w:val="20"/>
              </w:rPr>
              <w:t>0.24</w:t>
            </w:r>
          </w:p>
        </w:tc>
        <w:tc>
          <w:tcPr>
            <w:tcW w:w="1110" w:type="dxa"/>
            <w:tcBorders>
              <w:top w:val="nil"/>
              <w:left w:val="nil"/>
              <w:bottom w:val="nil"/>
              <w:right w:val="nil"/>
            </w:tcBorders>
            <w:vAlign w:val="center"/>
          </w:tcPr>
          <w:p w14:paraId="266F07EC" w14:textId="77777777" w:rsidR="000303DE" w:rsidRPr="0088203A" w:rsidRDefault="000303DE" w:rsidP="000303DE">
            <w:pPr>
              <w:spacing w:before="0"/>
              <w:jc w:val="center"/>
              <w:rPr>
                <w:sz w:val="20"/>
              </w:rPr>
            </w:pPr>
            <w:r w:rsidRPr="0088203A">
              <w:rPr>
                <w:sz w:val="20"/>
              </w:rPr>
              <w:t xml:space="preserve">0.810 </w:t>
            </w:r>
          </w:p>
        </w:tc>
      </w:tr>
      <w:tr w:rsidR="000303DE" w:rsidRPr="0088203A" w14:paraId="539E5D5A" w14:textId="77777777" w:rsidTr="00281604">
        <w:trPr>
          <w:trHeight w:val="305"/>
          <w:jc w:val="center"/>
        </w:trPr>
        <w:tc>
          <w:tcPr>
            <w:tcW w:w="1294" w:type="dxa"/>
            <w:tcBorders>
              <w:top w:val="nil"/>
              <w:left w:val="nil"/>
              <w:bottom w:val="nil"/>
              <w:right w:val="nil"/>
            </w:tcBorders>
            <w:vAlign w:val="center"/>
          </w:tcPr>
          <w:p w14:paraId="01311E33" w14:textId="77777777" w:rsidR="000303DE" w:rsidRPr="0088203A" w:rsidRDefault="000303DE" w:rsidP="000303DE">
            <w:pPr>
              <w:spacing w:before="0"/>
              <w:rPr>
                <w:sz w:val="20"/>
              </w:rPr>
            </w:pPr>
            <w:r w:rsidRPr="0088203A">
              <w:rPr>
                <w:b/>
                <w:sz w:val="20"/>
              </w:rPr>
              <w:t>Size</w:t>
            </w:r>
          </w:p>
        </w:tc>
        <w:tc>
          <w:tcPr>
            <w:tcW w:w="1843" w:type="dxa"/>
            <w:tcBorders>
              <w:top w:val="nil"/>
              <w:left w:val="nil"/>
              <w:bottom w:val="nil"/>
              <w:right w:val="nil"/>
            </w:tcBorders>
            <w:vAlign w:val="center"/>
          </w:tcPr>
          <w:p w14:paraId="546046B2" w14:textId="77777777" w:rsidR="000303DE" w:rsidRPr="0088203A" w:rsidRDefault="000303DE" w:rsidP="000303DE">
            <w:pPr>
              <w:spacing w:before="0"/>
              <w:jc w:val="center"/>
              <w:rPr>
                <w:sz w:val="20"/>
              </w:rPr>
            </w:pPr>
            <w:r w:rsidRPr="0088203A">
              <w:rPr>
                <w:sz w:val="20"/>
              </w:rPr>
              <w:t>0.0000272</w:t>
            </w:r>
          </w:p>
        </w:tc>
        <w:tc>
          <w:tcPr>
            <w:tcW w:w="883" w:type="dxa"/>
            <w:tcBorders>
              <w:top w:val="nil"/>
              <w:left w:val="nil"/>
              <w:bottom w:val="nil"/>
              <w:right w:val="nil"/>
            </w:tcBorders>
            <w:vAlign w:val="center"/>
          </w:tcPr>
          <w:p w14:paraId="0C84EF0A" w14:textId="77777777" w:rsidR="000303DE" w:rsidRPr="0088203A" w:rsidRDefault="000303DE" w:rsidP="000303DE">
            <w:pPr>
              <w:spacing w:before="0"/>
              <w:jc w:val="center"/>
              <w:rPr>
                <w:sz w:val="20"/>
              </w:rPr>
            </w:pPr>
            <w:r w:rsidRPr="0088203A">
              <w:rPr>
                <w:sz w:val="20"/>
              </w:rPr>
              <w:t>3.66</w:t>
            </w:r>
          </w:p>
        </w:tc>
        <w:tc>
          <w:tcPr>
            <w:tcW w:w="1110" w:type="dxa"/>
            <w:tcBorders>
              <w:top w:val="nil"/>
              <w:left w:val="nil"/>
              <w:bottom w:val="nil"/>
              <w:right w:val="nil"/>
            </w:tcBorders>
            <w:vAlign w:val="center"/>
          </w:tcPr>
          <w:p w14:paraId="62D2FF70" w14:textId="77777777" w:rsidR="000303DE" w:rsidRPr="0088203A" w:rsidRDefault="000303DE" w:rsidP="000303DE">
            <w:pPr>
              <w:spacing w:before="0"/>
              <w:jc w:val="center"/>
              <w:rPr>
                <w:sz w:val="20"/>
              </w:rPr>
            </w:pPr>
            <w:r w:rsidRPr="0088203A">
              <w:rPr>
                <w:sz w:val="20"/>
              </w:rPr>
              <w:t>0.000</w:t>
            </w:r>
          </w:p>
        </w:tc>
      </w:tr>
      <w:tr w:rsidR="000303DE" w:rsidRPr="0088203A" w14:paraId="6800FD1F" w14:textId="77777777" w:rsidTr="00281604">
        <w:trPr>
          <w:trHeight w:val="305"/>
          <w:jc w:val="center"/>
        </w:trPr>
        <w:tc>
          <w:tcPr>
            <w:tcW w:w="1294" w:type="dxa"/>
            <w:tcBorders>
              <w:top w:val="nil"/>
              <w:left w:val="nil"/>
              <w:bottom w:val="single" w:sz="4" w:space="0" w:color="auto"/>
              <w:right w:val="nil"/>
            </w:tcBorders>
            <w:vAlign w:val="center"/>
          </w:tcPr>
          <w:p w14:paraId="7D703496" w14:textId="77777777" w:rsidR="000303DE" w:rsidRPr="0088203A" w:rsidRDefault="000303DE" w:rsidP="000303DE">
            <w:pPr>
              <w:spacing w:before="0"/>
              <w:rPr>
                <w:sz w:val="20"/>
              </w:rPr>
            </w:pPr>
            <w:r w:rsidRPr="0088203A">
              <w:rPr>
                <w:b/>
                <w:sz w:val="20"/>
              </w:rPr>
              <w:t>_cons</w:t>
            </w:r>
          </w:p>
        </w:tc>
        <w:tc>
          <w:tcPr>
            <w:tcW w:w="1843" w:type="dxa"/>
            <w:tcBorders>
              <w:top w:val="nil"/>
              <w:left w:val="nil"/>
              <w:bottom w:val="single" w:sz="4" w:space="0" w:color="auto"/>
              <w:right w:val="nil"/>
            </w:tcBorders>
            <w:vAlign w:val="center"/>
          </w:tcPr>
          <w:p w14:paraId="549E581A" w14:textId="77777777" w:rsidR="000303DE" w:rsidRPr="0088203A" w:rsidRDefault="000303DE" w:rsidP="000303DE">
            <w:pPr>
              <w:spacing w:before="0"/>
              <w:jc w:val="center"/>
              <w:rPr>
                <w:sz w:val="20"/>
              </w:rPr>
            </w:pPr>
            <w:r w:rsidRPr="0088203A">
              <w:rPr>
                <w:sz w:val="20"/>
              </w:rPr>
              <w:t>7.861777</w:t>
            </w:r>
          </w:p>
        </w:tc>
        <w:tc>
          <w:tcPr>
            <w:tcW w:w="883" w:type="dxa"/>
            <w:tcBorders>
              <w:top w:val="nil"/>
              <w:left w:val="nil"/>
              <w:bottom w:val="single" w:sz="4" w:space="0" w:color="auto"/>
              <w:right w:val="nil"/>
            </w:tcBorders>
            <w:vAlign w:val="center"/>
          </w:tcPr>
          <w:p w14:paraId="59A6AFCA" w14:textId="77777777" w:rsidR="000303DE" w:rsidRPr="0088203A" w:rsidRDefault="000303DE" w:rsidP="000303DE">
            <w:pPr>
              <w:spacing w:before="0"/>
              <w:jc w:val="center"/>
              <w:rPr>
                <w:sz w:val="20"/>
              </w:rPr>
            </w:pPr>
            <w:r w:rsidRPr="0088203A">
              <w:rPr>
                <w:sz w:val="20"/>
              </w:rPr>
              <w:t>4.01</w:t>
            </w:r>
          </w:p>
        </w:tc>
        <w:tc>
          <w:tcPr>
            <w:tcW w:w="1110" w:type="dxa"/>
            <w:tcBorders>
              <w:top w:val="nil"/>
              <w:left w:val="nil"/>
              <w:bottom w:val="single" w:sz="4" w:space="0" w:color="auto"/>
              <w:right w:val="nil"/>
            </w:tcBorders>
            <w:vAlign w:val="center"/>
          </w:tcPr>
          <w:p w14:paraId="6AB2CA1F" w14:textId="77777777" w:rsidR="000303DE" w:rsidRPr="0088203A" w:rsidRDefault="000303DE" w:rsidP="000303DE">
            <w:pPr>
              <w:spacing w:before="0"/>
              <w:jc w:val="center"/>
              <w:rPr>
                <w:sz w:val="20"/>
              </w:rPr>
            </w:pPr>
            <w:r w:rsidRPr="0088203A">
              <w:rPr>
                <w:sz w:val="20"/>
              </w:rPr>
              <w:t xml:space="preserve">0.000 </w:t>
            </w:r>
          </w:p>
        </w:tc>
      </w:tr>
      <w:tr w:rsidR="000303DE" w:rsidRPr="0088203A" w14:paraId="33FA2F66" w14:textId="77777777" w:rsidTr="00281604">
        <w:trPr>
          <w:trHeight w:val="305"/>
          <w:jc w:val="center"/>
        </w:trPr>
        <w:tc>
          <w:tcPr>
            <w:tcW w:w="5130" w:type="dxa"/>
            <w:gridSpan w:val="4"/>
            <w:tcBorders>
              <w:top w:val="single" w:sz="4" w:space="0" w:color="auto"/>
              <w:left w:val="nil"/>
              <w:bottom w:val="single" w:sz="8" w:space="0" w:color="666666"/>
              <w:right w:val="nil"/>
            </w:tcBorders>
            <w:vAlign w:val="center"/>
          </w:tcPr>
          <w:p w14:paraId="08FB83C1" w14:textId="77777777" w:rsidR="000303DE" w:rsidRPr="0088203A" w:rsidRDefault="000303DE" w:rsidP="000303DE">
            <w:pPr>
              <w:spacing w:before="0"/>
              <w:rPr>
                <w:sz w:val="20"/>
              </w:rPr>
            </w:pPr>
            <w:r w:rsidRPr="0088203A">
              <w:rPr>
                <w:bCs/>
                <w:sz w:val="20"/>
              </w:rPr>
              <w:t xml:space="preserve">*Refer to Table 1 for the notation of variables </w:t>
            </w:r>
          </w:p>
        </w:tc>
      </w:tr>
    </w:tbl>
    <w:p w14:paraId="1FF91CF2" w14:textId="77777777" w:rsidR="000303DE" w:rsidRPr="0088203A" w:rsidRDefault="000303DE" w:rsidP="000303DE">
      <w:pPr>
        <w:rPr>
          <w:i/>
          <w:iCs/>
          <w:sz w:val="20"/>
        </w:rPr>
      </w:pPr>
      <w:r w:rsidRPr="0088203A">
        <w:tab/>
      </w:r>
      <w:r w:rsidRPr="0088203A">
        <w:tab/>
      </w:r>
      <w:r w:rsidRPr="0088203A">
        <w:rPr>
          <w:i/>
          <w:iCs/>
        </w:rPr>
        <w:tab/>
      </w:r>
      <w:r w:rsidRPr="0088203A">
        <w:rPr>
          <w:i/>
          <w:iCs/>
          <w:sz w:val="20"/>
        </w:rPr>
        <w:t xml:space="preserve">Source: Stata 19 data output </w:t>
      </w:r>
    </w:p>
    <w:p w14:paraId="693D9E30" w14:textId="77777777" w:rsidR="0088203A" w:rsidRDefault="000303DE" w:rsidP="000303DE">
      <w:pPr>
        <w:tabs>
          <w:tab w:val="left" w:pos="540"/>
        </w:tabs>
        <w:spacing w:after="240"/>
        <w:rPr>
          <w:sz w:val="22"/>
          <w:szCs w:val="22"/>
        </w:rPr>
        <w:sectPr w:rsidR="0088203A" w:rsidSect="0088203A">
          <w:type w:val="continuous"/>
          <w:pgSz w:w="11907" w:h="16840" w:code="9"/>
          <w:pgMar w:top="2268" w:right="1701" w:bottom="1701" w:left="2268" w:header="454" w:footer="567" w:gutter="0"/>
          <w:pgNumType w:start="27"/>
          <w:cols w:space="709"/>
          <w:docGrid w:linePitch="326"/>
        </w:sectPr>
      </w:pPr>
      <w:r w:rsidRPr="0088203A">
        <w:rPr>
          <w:sz w:val="22"/>
          <w:szCs w:val="22"/>
        </w:rPr>
        <w:tab/>
      </w:r>
    </w:p>
    <w:p w14:paraId="2A8D3116" w14:textId="77777777" w:rsidR="000303DE" w:rsidRPr="0088203A" w:rsidRDefault="000303DE" w:rsidP="000303DE">
      <w:pPr>
        <w:tabs>
          <w:tab w:val="left" w:pos="540"/>
        </w:tabs>
        <w:spacing w:after="240"/>
        <w:rPr>
          <w:sz w:val="22"/>
          <w:szCs w:val="22"/>
        </w:rPr>
      </w:pPr>
      <w:r w:rsidRPr="0088203A">
        <w:rPr>
          <w:sz w:val="22"/>
          <w:szCs w:val="22"/>
        </w:rPr>
        <w:lastRenderedPageBreak/>
        <w:t xml:space="preserve">Table 4 presents the Moderated Regression Analysis results examining the effect of ESG, SRI, green innovation, and interaction variables on firm value. The results show that ESG, green innovation, MESG, and firm size significantly influence firm value, while SRI and MSRI are not statistically significant.  </w:t>
      </w:r>
    </w:p>
    <w:p w14:paraId="05A0DD8E" w14:textId="4DDE680F" w:rsidR="000303DE" w:rsidRPr="0088203A" w:rsidRDefault="000303DE" w:rsidP="00387AD6">
      <w:pPr>
        <w:pStyle w:val="ListParagraph"/>
        <w:numPr>
          <w:ilvl w:val="1"/>
          <w:numId w:val="33"/>
        </w:numPr>
        <w:tabs>
          <w:tab w:val="left" w:pos="540"/>
        </w:tabs>
        <w:spacing w:before="0" w:line="276" w:lineRule="auto"/>
        <w:ind w:left="360"/>
        <w:rPr>
          <w:rFonts w:ascii="Times New Roman" w:hAnsi="Times New Roman"/>
          <w:b/>
          <w:bCs/>
        </w:rPr>
      </w:pPr>
      <w:r w:rsidRPr="0088203A">
        <w:rPr>
          <w:rFonts w:ascii="Times New Roman" w:hAnsi="Times New Roman"/>
          <w:b/>
          <w:bCs/>
        </w:rPr>
        <w:t xml:space="preserve">Discussion </w:t>
      </w:r>
    </w:p>
    <w:p w14:paraId="07604BC8" w14:textId="77777777" w:rsidR="000303DE" w:rsidRPr="0088203A" w:rsidRDefault="000303DE" w:rsidP="000303DE">
      <w:pPr>
        <w:tabs>
          <w:tab w:val="left" w:pos="540"/>
        </w:tabs>
        <w:rPr>
          <w:sz w:val="22"/>
          <w:szCs w:val="22"/>
        </w:rPr>
      </w:pPr>
      <w:r w:rsidRPr="0088203A">
        <w:rPr>
          <w:sz w:val="22"/>
          <w:szCs w:val="22"/>
        </w:rPr>
        <w:tab/>
        <w:t>Focusing on the MRA result, ESG has a positive and significant effect on firm value, with a coefficient of 0.1087779 and a p-value of 0.021. Economically, this coefficient means that every one-unit increase in ESG score is associated with an increase of approximately 0.109 units in Tobin’s Q, holding other variables constant. This indicates that ESG performance is not only statistically significant but also economically meaningful in explaining firm value. Firms with better ESG performance tend to receive higher market valuation because ESG practices can reduce information asymmetry, improve corporate reputation, and signal stronger long-term sustainability commitment to investors.</w:t>
      </w:r>
    </w:p>
    <w:p w14:paraId="1447FE2B" w14:textId="77777777" w:rsidR="000303DE" w:rsidRPr="0088203A" w:rsidRDefault="000303DE" w:rsidP="000303DE">
      <w:pPr>
        <w:tabs>
          <w:tab w:val="left" w:pos="540"/>
        </w:tabs>
        <w:rPr>
          <w:sz w:val="22"/>
          <w:szCs w:val="22"/>
        </w:rPr>
      </w:pPr>
      <w:r w:rsidRPr="0088203A">
        <w:rPr>
          <w:sz w:val="22"/>
          <w:szCs w:val="22"/>
        </w:rPr>
        <w:tab/>
        <w:t>Green innovation also has a positive and significant effect on firm value, with a coefficient of 0.138621 and a p-value of 0.000. This means that every one-unit increase in green innovation is associated with an increase of approximately 0.139 units in Tobin’s Q, ceteris paribus. The magnitude of this coefficient is slightly higher than ESG, suggesting that internal green innovation capability may provide a stronger direct contribution to firm value. This result implies that firms that actively implement environmentally friendly innovation are more likely to be valued positively by the market because green innovation reflects operational efficiency, environmental adaptability, and long-term competitive advantage.</w:t>
      </w:r>
    </w:p>
    <w:p w14:paraId="28EE682D" w14:textId="77777777" w:rsidR="000303DE" w:rsidRPr="0088203A" w:rsidRDefault="000303DE" w:rsidP="000303DE">
      <w:pPr>
        <w:tabs>
          <w:tab w:val="left" w:pos="540"/>
        </w:tabs>
        <w:rPr>
          <w:sz w:val="22"/>
          <w:szCs w:val="22"/>
        </w:rPr>
      </w:pPr>
      <w:r w:rsidRPr="0088203A">
        <w:rPr>
          <w:sz w:val="22"/>
          <w:szCs w:val="22"/>
        </w:rPr>
        <w:tab/>
        <w:t>Furthermore, the interaction variable between green innovation and ESG (MESG) shows a positive and significant coefficient of 0.0024591 with a p-value of 0.001. This result indicates that green innovation strengthens the relationship between ESG and firm value. In economic terms, each additional one-unit increase in green innovation increases the marginal effect of ESG on Tobin’s Q by approximately 0.00246 units. Therefore, ESG performance becomes more valuable when it is supported by concrete internal green innovation. This finding suggests that investors do not only respond to ESG disclosure or ESG performance symbolically, but also value firms that are able to translate sustainability commitment into real innovation practices.</w:t>
      </w:r>
    </w:p>
    <w:p w14:paraId="5D1F54CC" w14:textId="77777777" w:rsidR="000303DE" w:rsidRPr="0088203A" w:rsidRDefault="000303DE" w:rsidP="000303DE">
      <w:pPr>
        <w:tabs>
          <w:tab w:val="left" w:pos="540"/>
        </w:tabs>
        <w:rPr>
          <w:sz w:val="22"/>
          <w:szCs w:val="22"/>
        </w:rPr>
      </w:pPr>
      <w:r w:rsidRPr="0088203A">
        <w:rPr>
          <w:sz w:val="22"/>
          <w:szCs w:val="22"/>
        </w:rPr>
        <w:tab/>
        <w:t>In contrast, SRI has a negative but statistically insignificant effect on firm value, with a coefficient of -0.0005416 and a p-value of 0.981. Economically, the coefficient is very close to zero, meaning that a one-unit increase in SRI only corresponds to a decrease of approximately 0.00054 units in Tobin’s Q, which is economically negligible and statistically insignificant. Therefore, this result cannot be interpreted as evidence that SRI reduces firm value. Rather, it indicates that SRI has not yet become a strong factor in explaining market valuation in this sample.</w:t>
      </w:r>
    </w:p>
    <w:p w14:paraId="1604F6C5" w14:textId="77777777" w:rsidR="000303DE" w:rsidRPr="0088203A" w:rsidRDefault="000303DE" w:rsidP="000303DE">
      <w:pPr>
        <w:tabs>
          <w:tab w:val="left" w:pos="540"/>
        </w:tabs>
        <w:rPr>
          <w:sz w:val="22"/>
          <w:szCs w:val="22"/>
        </w:rPr>
      </w:pPr>
      <w:r w:rsidRPr="0088203A">
        <w:rPr>
          <w:sz w:val="22"/>
          <w:szCs w:val="22"/>
        </w:rPr>
        <w:tab/>
        <w:t xml:space="preserve">One possible explanation is that investors in the Malaysian capital market may still place greater emphasis on conventional financial indicators, such as profitability, liquidity, and marketability, rather than SRI signals alone. Although the FTSE4Good Bursa Malaysia Index was launched in December 2014 to support ESG investment in Malaysian listed companies and encourage better sustainability practices, the market’s response to SRI may still be developing rather than fully mature. In other words, </w:t>
      </w:r>
      <w:r w:rsidRPr="0088203A">
        <w:rPr>
          <w:sz w:val="22"/>
          <w:szCs w:val="22"/>
        </w:rPr>
        <w:lastRenderedPageBreak/>
        <w:t>the existence of ESG investment infrastructure does not automatically mean that SRI signals are fully priced into firm value. Investors may still require stronger evidence of financial performance, liquidity, and concrete sustainability implementation before assigning higher valuation to firms associated with SRI.</w:t>
      </w:r>
    </w:p>
    <w:p w14:paraId="577BA32E" w14:textId="77777777" w:rsidR="000303DE" w:rsidRPr="0088203A" w:rsidRDefault="000303DE" w:rsidP="000303DE">
      <w:pPr>
        <w:tabs>
          <w:tab w:val="left" w:pos="540"/>
        </w:tabs>
        <w:rPr>
          <w:sz w:val="22"/>
          <w:szCs w:val="22"/>
        </w:rPr>
      </w:pPr>
      <w:r w:rsidRPr="0088203A">
        <w:rPr>
          <w:sz w:val="22"/>
          <w:szCs w:val="22"/>
        </w:rPr>
        <w:tab/>
        <w:t>The interaction between green innovation and SRI (MSRI) is also not statistically significant, with a coefficient of 0.0000870 and a p-value of 0.810. This means that green innovation does not significantly moderate the relationship between SRI and firm value. Economically, the coefficient is very small, indicating that the moderating contribution of green innovation in the SRI–Tobin’s Q relationship is almost negligible. This finding suggests that although green innovation strengthens the effect of ESG on firm value, it is not yet sufficient to make SRI significantly influence market valuation. This may occur because ESG is more directly observable through firm-level sustainability performance, while SRI may depend more on broader investor preference, index maturity, capital market liquidity, and the development stage of responsible investment practices.</w:t>
      </w:r>
    </w:p>
    <w:p w14:paraId="3D2FFDB8" w14:textId="77777777" w:rsidR="000303DE" w:rsidRPr="0088203A" w:rsidRDefault="000303DE" w:rsidP="000303DE">
      <w:pPr>
        <w:tabs>
          <w:tab w:val="left" w:pos="540"/>
        </w:tabs>
        <w:rPr>
          <w:sz w:val="22"/>
          <w:szCs w:val="22"/>
        </w:rPr>
      </w:pPr>
      <w:r w:rsidRPr="0088203A">
        <w:rPr>
          <w:sz w:val="22"/>
          <w:szCs w:val="22"/>
        </w:rPr>
        <w:tab/>
        <w:t>Lastly, firm size has a positive and significant effect on firm value, with a coefficient of 0.0000272 and a p-value of 0.000. Although statistically significant, the economic magnitude is very small. This means that an increase of one unit in firm size is associated with only a 0.0000272-unit increase in Tobin’s Q. Thus, larger firms tend to have slightly higher firm value, but the practical effect is limited. This result implies that firm size may contribute to firm value through greater resources, visibility, and market credibility, although its economic impact is smaller than ESG and green innovation.</w:t>
      </w:r>
    </w:p>
    <w:p w14:paraId="54CF8199" w14:textId="752545CC" w:rsidR="000303DE" w:rsidRPr="0088203A" w:rsidRDefault="000303DE" w:rsidP="000303DE">
      <w:pPr>
        <w:pStyle w:val="a0"/>
        <w:spacing w:line="240" w:lineRule="auto"/>
        <w:rPr>
          <w:sz w:val="22"/>
          <w:szCs w:val="22"/>
          <w:lang w:val="en-US"/>
        </w:rPr>
        <w:sectPr w:rsidR="000303DE" w:rsidRPr="0088203A" w:rsidSect="00232D95">
          <w:type w:val="continuous"/>
          <w:pgSz w:w="11907" w:h="16840" w:code="9"/>
          <w:pgMar w:top="2268" w:right="1701" w:bottom="1701" w:left="2268" w:header="454" w:footer="567" w:gutter="0"/>
          <w:pgNumType w:start="176"/>
          <w:cols w:num="2" w:space="709"/>
          <w:docGrid w:linePitch="326"/>
        </w:sectPr>
      </w:pPr>
      <w:r w:rsidRPr="0088203A">
        <w:rPr>
          <w:sz w:val="22"/>
          <w:szCs w:val="22"/>
        </w:rPr>
        <w:tab/>
        <w:t>The MRA result indicates that ESG, green innovation, MESG, and firm size significantly influence firm value, while SRI and MSRI are not statistically significant. The findings suggest that the market responds more strongly to direct ESG performance and actual green innovation capability than to SRI signals alone. Therefore, in the context of Malaysian listed firms, sustainability-related firm value appears to be driven more by observable ESG performance and internal green innovation than by external SRI preference, which may still depend on the maturity of ESG investing practices and the development of the responsible investment ecosystem.</w:t>
      </w:r>
    </w:p>
    <w:p w14:paraId="06BDBD62" w14:textId="77777777" w:rsidR="00590890" w:rsidRPr="0088203A" w:rsidRDefault="00590890" w:rsidP="007F24CC">
      <w:pPr>
        <w:pStyle w:val="a0"/>
        <w:spacing w:line="240" w:lineRule="auto"/>
        <w:rPr>
          <w:sz w:val="22"/>
          <w:szCs w:val="22"/>
          <w:lang w:val="en-US"/>
        </w:rPr>
      </w:pPr>
    </w:p>
    <w:p w14:paraId="09C35BD9" w14:textId="77777777" w:rsidR="00590890" w:rsidRPr="0088203A" w:rsidRDefault="00590890" w:rsidP="007F24CC">
      <w:pPr>
        <w:pStyle w:val="a0"/>
        <w:spacing w:line="240" w:lineRule="auto"/>
        <w:rPr>
          <w:sz w:val="22"/>
          <w:szCs w:val="22"/>
          <w:lang w:val="en-US"/>
        </w:rPr>
        <w:sectPr w:rsidR="00590890" w:rsidRPr="0088203A" w:rsidSect="0088203A">
          <w:type w:val="continuous"/>
          <w:pgSz w:w="11907" w:h="16840" w:code="9"/>
          <w:pgMar w:top="2268" w:right="1701" w:bottom="1701" w:left="2268" w:header="454" w:footer="567" w:gutter="0"/>
          <w:pgNumType w:start="27"/>
          <w:cols w:num="2" w:space="709"/>
          <w:docGrid w:linePitch="326"/>
        </w:sectPr>
      </w:pPr>
    </w:p>
    <w:p w14:paraId="49303F82" w14:textId="77777777" w:rsidR="006C6B04" w:rsidRPr="0088203A" w:rsidRDefault="006C6B04" w:rsidP="007F24CC">
      <w:pPr>
        <w:pStyle w:val="a0"/>
        <w:spacing w:line="240" w:lineRule="auto"/>
        <w:rPr>
          <w:sz w:val="22"/>
          <w:szCs w:val="22"/>
          <w:lang w:val="en-US"/>
        </w:rPr>
      </w:pPr>
    </w:p>
    <w:p w14:paraId="5D329B74" w14:textId="77777777" w:rsidR="00387AD6" w:rsidRPr="0088203A" w:rsidRDefault="00387AD6" w:rsidP="00B84A57">
      <w:pPr>
        <w:widowControl w:val="0"/>
        <w:numPr>
          <w:ilvl w:val="0"/>
          <w:numId w:val="33"/>
        </w:numPr>
        <w:adjustRightInd w:val="0"/>
        <w:spacing w:before="29"/>
        <w:ind w:left="270" w:right="-46" w:hanging="270"/>
        <w:rPr>
          <w:b/>
          <w:bCs/>
          <w:sz w:val="22"/>
          <w:szCs w:val="22"/>
        </w:rPr>
        <w:sectPr w:rsidR="00387AD6" w:rsidRPr="0088203A" w:rsidSect="0088203A">
          <w:type w:val="continuous"/>
          <w:pgSz w:w="11907" w:h="16840" w:code="9"/>
          <w:pgMar w:top="2268" w:right="1701" w:bottom="1701" w:left="2268" w:header="454" w:footer="567" w:gutter="0"/>
          <w:pgNumType w:start="27"/>
          <w:cols w:num="2" w:space="709"/>
          <w:docGrid w:linePitch="326"/>
        </w:sectPr>
      </w:pPr>
    </w:p>
    <w:p w14:paraId="1D21F3BA" w14:textId="3664011B" w:rsidR="00AB293F" w:rsidRPr="0088203A" w:rsidRDefault="000C4940" w:rsidP="00B84A57">
      <w:pPr>
        <w:widowControl w:val="0"/>
        <w:numPr>
          <w:ilvl w:val="0"/>
          <w:numId w:val="33"/>
        </w:numPr>
        <w:adjustRightInd w:val="0"/>
        <w:spacing w:before="29"/>
        <w:ind w:left="270" w:right="-46" w:hanging="270"/>
        <w:rPr>
          <w:b/>
          <w:bCs/>
          <w:sz w:val="22"/>
          <w:szCs w:val="22"/>
          <w:lang w:val="id-ID"/>
        </w:rPr>
        <w:sectPr w:rsidR="00AB293F" w:rsidRPr="0088203A" w:rsidSect="0088203A">
          <w:type w:val="continuous"/>
          <w:pgSz w:w="11907" w:h="16840" w:code="9"/>
          <w:pgMar w:top="2268" w:right="1701" w:bottom="1701" w:left="2268" w:header="454" w:footer="567" w:gutter="0"/>
          <w:pgNumType w:start="27"/>
          <w:cols w:num="2" w:space="709"/>
          <w:docGrid w:linePitch="326"/>
        </w:sectPr>
      </w:pPr>
      <w:r w:rsidRPr="0088203A">
        <w:rPr>
          <w:b/>
          <w:bCs/>
          <w:sz w:val="22"/>
          <w:szCs w:val="22"/>
        </w:rPr>
        <w:t>CONCLUSION</w:t>
      </w:r>
    </w:p>
    <w:p w14:paraId="6CF0D5CC" w14:textId="77777777" w:rsidR="00387AD6" w:rsidRPr="0088203A" w:rsidRDefault="00387AD6" w:rsidP="00387AD6">
      <w:pPr>
        <w:widowControl w:val="0"/>
        <w:adjustRightInd w:val="0"/>
        <w:spacing w:before="29"/>
        <w:ind w:right="-46" w:firstLine="360"/>
        <w:rPr>
          <w:sz w:val="22"/>
          <w:szCs w:val="22"/>
          <w:lang w:val="id-ID"/>
        </w:rPr>
      </w:pPr>
      <w:r w:rsidRPr="0088203A">
        <w:rPr>
          <w:sz w:val="22"/>
          <w:szCs w:val="22"/>
          <w:lang w:val="id-ID"/>
        </w:rPr>
        <w:t>This study concludes that ESG performance and green innovation have a positive and significant effect on firm value. In addition, green innovation strengthens the relationship between ESG and firm value, indicating that investors value ESG performance more highly when it is supported by concrete green innovation practices. However, SRI and the interaction between SRI and green innovation are not significant, suggesting that SRI signals may not yet be fully priced by the Malaysian capital market.</w:t>
      </w:r>
    </w:p>
    <w:p w14:paraId="6E46DA6F" w14:textId="77777777" w:rsidR="00387AD6" w:rsidRPr="0088203A" w:rsidRDefault="00387AD6" w:rsidP="00387AD6">
      <w:pPr>
        <w:widowControl w:val="0"/>
        <w:adjustRightInd w:val="0"/>
        <w:spacing w:before="29"/>
        <w:ind w:right="-46" w:firstLine="360"/>
        <w:rPr>
          <w:sz w:val="22"/>
          <w:szCs w:val="22"/>
          <w:lang w:val="id-ID"/>
        </w:rPr>
      </w:pPr>
      <w:r w:rsidRPr="0088203A">
        <w:rPr>
          <w:sz w:val="22"/>
          <w:szCs w:val="22"/>
          <w:lang w:val="id-ID"/>
        </w:rPr>
        <w:t xml:space="preserve">The findings provide practical </w:t>
      </w:r>
      <w:r w:rsidRPr="0088203A">
        <w:rPr>
          <w:sz w:val="22"/>
          <w:szCs w:val="22"/>
          <w:lang w:val="id-ID"/>
        </w:rPr>
        <w:t xml:space="preserve">implications for Malaysian regulators, particularly the Securities Commission Malaysia and Bursa Malaysia. Regulators should consider providing more specific incentives for green innovation, such as sustainability-linked financing support, recognition for firms with measurable green innovation outcomes, and stronger integration of green innovation indicators into ESG-related indices. These incentives may encourage firms to move beyond ESG disclosure and implement actual environmentally friendly innovation in products, processes, and </w:t>
      </w:r>
      <w:r w:rsidRPr="0088203A">
        <w:rPr>
          <w:sz w:val="22"/>
          <w:szCs w:val="22"/>
          <w:lang w:val="id-ID"/>
        </w:rPr>
        <w:lastRenderedPageBreak/>
        <w:t xml:space="preserve">technologies. </w:t>
      </w:r>
    </w:p>
    <w:p w14:paraId="1CEBC012" w14:textId="2F36C0BF" w:rsidR="00387AD6" w:rsidRPr="0088203A" w:rsidRDefault="00387AD6" w:rsidP="00387AD6">
      <w:pPr>
        <w:widowControl w:val="0"/>
        <w:adjustRightInd w:val="0"/>
        <w:spacing w:before="29"/>
        <w:ind w:right="-46" w:firstLine="360"/>
        <w:rPr>
          <w:sz w:val="22"/>
          <w:szCs w:val="22"/>
          <w:lang w:val="id-ID"/>
        </w:rPr>
      </w:pPr>
      <w:r w:rsidRPr="0088203A">
        <w:rPr>
          <w:sz w:val="22"/>
          <w:szCs w:val="22"/>
          <w:lang w:val="id-ID"/>
        </w:rPr>
        <w:t xml:space="preserve">This study also has limitations. The sample size is relatively small, consisting of 18 firms and 144 firm-8-year observations, which may limit the generalizability of the findings. In </w:t>
      </w:r>
      <w:r w:rsidRPr="0088203A">
        <w:rPr>
          <w:sz w:val="22"/>
          <w:szCs w:val="22"/>
          <w:lang w:val="id-ID"/>
        </w:rPr>
        <w:t>addition, the study only focuses on two sectors, so the results may not fully represent all listed firms in Malaysia. Future studies are encouraged to include a larger sample, broader sector coverage, and additional financial control variables to provide more robust evidence.</w:t>
      </w:r>
    </w:p>
    <w:p w14:paraId="21BD3E01" w14:textId="77777777" w:rsidR="0088203A" w:rsidRDefault="0088203A" w:rsidP="00B84A57">
      <w:pPr>
        <w:widowControl w:val="0"/>
        <w:adjustRightInd w:val="0"/>
        <w:spacing w:before="29"/>
        <w:ind w:left="270" w:right="-46" w:hanging="270"/>
        <w:rPr>
          <w:sz w:val="22"/>
          <w:szCs w:val="22"/>
          <w:lang w:val="id-ID"/>
        </w:rPr>
        <w:sectPr w:rsidR="0088203A" w:rsidSect="00812D0C">
          <w:type w:val="continuous"/>
          <w:pgSz w:w="11907" w:h="16840" w:code="9"/>
          <w:pgMar w:top="2268" w:right="1701" w:bottom="1701" w:left="2268" w:header="454" w:footer="567" w:gutter="0"/>
          <w:pgNumType w:start="179"/>
          <w:cols w:num="2" w:space="709"/>
          <w:docGrid w:linePitch="326"/>
        </w:sectPr>
      </w:pPr>
    </w:p>
    <w:p w14:paraId="782FE70C" w14:textId="77777777" w:rsidR="00306663" w:rsidRPr="0088203A" w:rsidRDefault="00306663" w:rsidP="00B84A57">
      <w:pPr>
        <w:widowControl w:val="0"/>
        <w:adjustRightInd w:val="0"/>
        <w:spacing w:before="29"/>
        <w:ind w:left="270" w:right="-46" w:hanging="270"/>
        <w:rPr>
          <w:sz w:val="22"/>
          <w:szCs w:val="22"/>
          <w:lang w:val="id-ID"/>
        </w:rPr>
      </w:pPr>
    </w:p>
    <w:p w14:paraId="3A8FEAD5" w14:textId="77777777" w:rsidR="00AB293F" w:rsidRPr="0088203A" w:rsidRDefault="00AB293F" w:rsidP="007F24CC">
      <w:pPr>
        <w:widowControl w:val="0"/>
        <w:adjustRightInd w:val="0"/>
        <w:spacing w:before="29"/>
        <w:ind w:right="-46"/>
        <w:rPr>
          <w:sz w:val="22"/>
          <w:szCs w:val="22"/>
        </w:rPr>
        <w:sectPr w:rsidR="00AB293F" w:rsidRPr="0088203A" w:rsidSect="0088203A">
          <w:type w:val="continuous"/>
          <w:pgSz w:w="11907" w:h="16840" w:code="9"/>
          <w:pgMar w:top="2268" w:right="1701" w:bottom="1701" w:left="2268" w:header="454" w:footer="567" w:gutter="0"/>
          <w:pgNumType w:start="162"/>
          <w:cols w:num="2" w:space="709"/>
          <w:docGrid w:linePitch="326"/>
        </w:sectPr>
      </w:pPr>
    </w:p>
    <w:p w14:paraId="1C41C2C5" w14:textId="25BAE3FF" w:rsidR="005B5CD6" w:rsidRPr="0088203A" w:rsidRDefault="005B5CD6" w:rsidP="007F24CC">
      <w:pPr>
        <w:widowControl w:val="0"/>
        <w:adjustRightInd w:val="0"/>
        <w:spacing w:before="29"/>
        <w:ind w:right="-46"/>
        <w:rPr>
          <w:sz w:val="22"/>
          <w:szCs w:val="22"/>
        </w:rPr>
      </w:pPr>
    </w:p>
    <w:p w14:paraId="69E9EE64" w14:textId="3330A7AA" w:rsidR="00ED25D3" w:rsidRPr="0088203A" w:rsidRDefault="00AD2900" w:rsidP="007F24CC">
      <w:pPr>
        <w:widowControl w:val="0"/>
        <w:adjustRightInd w:val="0"/>
        <w:ind w:right="-46" w:firstLine="0"/>
        <w:rPr>
          <w:b/>
          <w:bCs/>
          <w:sz w:val="22"/>
          <w:szCs w:val="22"/>
        </w:rPr>
      </w:pPr>
      <w:r w:rsidRPr="0088203A">
        <w:rPr>
          <w:b/>
          <w:bCs/>
          <w:sz w:val="22"/>
          <w:szCs w:val="22"/>
        </w:rPr>
        <w:t>REFERENCES</w:t>
      </w:r>
    </w:p>
    <w:p w14:paraId="16B76B55" w14:textId="77777777" w:rsidR="00ED25D3" w:rsidRPr="0088203A" w:rsidRDefault="00ED25D3" w:rsidP="007F24CC">
      <w:pPr>
        <w:widowControl w:val="0"/>
        <w:adjustRightInd w:val="0"/>
        <w:spacing w:before="0"/>
        <w:ind w:left="426" w:hanging="426"/>
        <w:jc w:val="left"/>
        <w:rPr>
          <w:sz w:val="22"/>
          <w:szCs w:val="22"/>
        </w:rPr>
      </w:pPr>
    </w:p>
    <w:p w14:paraId="3756EFCF" w14:textId="77777777" w:rsidR="00306663" w:rsidRPr="0088203A" w:rsidRDefault="00AB293F" w:rsidP="00306663">
      <w:pPr>
        <w:pStyle w:val="p1"/>
        <w:ind w:left="360" w:hanging="360"/>
        <w:jc w:val="both"/>
        <w:rPr>
          <w:sz w:val="22"/>
          <w:szCs w:val="22"/>
        </w:rPr>
      </w:pPr>
      <w:r w:rsidRPr="0088203A">
        <w:rPr>
          <w:sz w:val="22"/>
          <w:szCs w:val="22"/>
        </w:rPr>
        <w:t xml:space="preserve">Alsharo, M., Gregg, D., &amp; Ramirez, R. (2017). Virtual team effectiveness: The role of knowledge sharing and trust. </w:t>
      </w:r>
      <w:r w:rsidRPr="0088203A">
        <w:rPr>
          <w:i/>
          <w:iCs/>
          <w:sz w:val="22"/>
          <w:szCs w:val="22"/>
        </w:rPr>
        <w:t>Information and Management</w:t>
      </w:r>
      <w:r w:rsidRPr="0088203A">
        <w:rPr>
          <w:sz w:val="22"/>
          <w:szCs w:val="22"/>
        </w:rPr>
        <w:t xml:space="preserve">, </w:t>
      </w:r>
      <w:r w:rsidRPr="0088203A">
        <w:rPr>
          <w:i/>
          <w:iCs/>
          <w:sz w:val="22"/>
          <w:szCs w:val="22"/>
        </w:rPr>
        <w:t>54</w:t>
      </w:r>
      <w:r w:rsidRPr="0088203A">
        <w:rPr>
          <w:sz w:val="22"/>
          <w:szCs w:val="22"/>
        </w:rPr>
        <w:t xml:space="preserve">(4), 479–490. </w:t>
      </w:r>
      <w:hyperlink r:id="rId17" w:history="1">
        <w:r w:rsidRPr="0088203A">
          <w:rPr>
            <w:rStyle w:val="Hyperlink"/>
            <w:sz w:val="22"/>
            <w:szCs w:val="22"/>
          </w:rPr>
          <w:t>https://doi.org/10.1016/j.im.2016.10.005</w:t>
        </w:r>
      </w:hyperlink>
    </w:p>
    <w:p w14:paraId="55B8BB04" w14:textId="3AADC478" w:rsidR="00AB293F" w:rsidRPr="0088203A" w:rsidRDefault="00AB293F" w:rsidP="00306663">
      <w:pPr>
        <w:pStyle w:val="p1"/>
        <w:ind w:left="360" w:hanging="360"/>
        <w:jc w:val="both"/>
        <w:rPr>
          <w:sz w:val="22"/>
          <w:szCs w:val="22"/>
        </w:rPr>
      </w:pPr>
      <w:r w:rsidRPr="0088203A">
        <w:rPr>
          <w:sz w:val="22"/>
          <w:szCs w:val="22"/>
        </w:rPr>
        <w:t xml:space="preserve">Baytok, A., Kurt, M., &amp; Zorlu, Ö. (2014). The role of transformational leader on knowledge sharing practices : A study about international hotel chains. </w:t>
      </w:r>
      <w:r w:rsidRPr="0088203A">
        <w:rPr>
          <w:i/>
          <w:iCs/>
          <w:sz w:val="22"/>
          <w:szCs w:val="22"/>
        </w:rPr>
        <w:t>European Journal of Business and Management</w:t>
      </w:r>
      <w:r w:rsidRPr="0088203A">
        <w:rPr>
          <w:sz w:val="22"/>
          <w:szCs w:val="22"/>
        </w:rPr>
        <w:t xml:space="preserve">, </w:t>
      </w:r>
      <w:r w:rsidRPr="0088203A">
        <w:rPr>
          <w:i/>
          <w:iCs/>
          <w:sz w:val="22"/>
          <w:szCs w:val="22"/>
        </w:rPr>
        <w:t>6</w:t>
      </w:r>
      <w:r w:rsidRPr="0088203A">
        <w:rPr>
          <w:sz w:val="22"/>
          <w:szCs w:val="22"/>
        </w:rPr>
        <w:t>(7), 46–61.</w:t>
      </w:r>
    </w:p>
    <w:p w14:paraId="3CD9EE7F" w14:textId="09BE1FFE" w:rsidR="00AB293F" w:rsidRPr="0088203A" w:rsidRDefault="00AB293F" w:rsidP="00306663">
      <w:pPr>
        <w:pStyle w:val="p1"/>
        <w:ind w:left="360" w:hanging="360"/>
        <w:jc w:val="both"/>
        <w:rPr>
          <w:sz w:val="22"/>
          <w:szCs w:val="22"/>
        </w:rPr>
      </w:pPr>
      <w:r w:rsidRPr="0088203A">
        <w:rPr>
          <w:sz w:val="22"/>
          <w:szCs w:val="22"/>
        </w:rPr>
        <w:t xml:space="preserve">Bock, G.-W., &amp; Kim, Y.-G. (2002). Breaking the Myths of Rewards: An Exploratory Study of Attitudes about Knowledge Sharing. </w:t>
      </w:r>
      <w:r w:rsidRPr="0088203A">
        <w:rPr>
          <w:i/>
          <w:iCs/>
          <w:sz w:val="22"/>
          <w:szCs w:val="22"/>
        </w:rPr>
        <w:t>Information Resources</w:t>
      </w:r>
      <w:r w:rsidRPr="0088203A">
        <w:rPr>
          <w:sz w:val="22"/>
          <w:szCs w:val="22"/>
        </w:rPr>
        <w:t xml:space="preserve"> </w:t>
      </w:r>
      <w:r w:rsidRPr="0088203A">
        <w:rPr>
          <w:i/>
          <w:iCs/>
          <w:sz w:val="22"/>
          <w:szCs w:val="22"/>
        </w:rPr>
        <w:t>Management Journal (IRMJ)</w:t>
      </w:r>
      <w:r w:rsidRPr="0088203A">
        <w:rPr>
          <w:sz w:val="22"/>
          <w:szCs w:val="22"/>
        </w:rPr>
        <w:t xml:space="preserve">, </w:t>
      </w:r>
      <w:r w:rsidRPr="0088203A">
        <w:rPr>
          <w:i/>
          <w:iCs/>
          <w:sz w:val="22"/>
          <w:szCs w:val="22"/>
        </w:rPr>
        <w:t>15</w:t>
      </w:r>
      <w:r w:rsidRPr="0088203A">
        <w:rPr>
          <w:sz w:val="22"/>
          <w:szCs w:val="22"/>
        </w:rPr>
        <w:t>(2), 14–21. https://doi.org/10.4018/irmj.2002040102</w:t>
      </w:r>
    </w:p>
    <w:p w14:paraId="45F932C4" w14:textId="59EAA683" w:rsidR="00AB293F" w:rsidRPr="0088203A" w:rsidRDefault="00AB293F" w:rsidP="00306663">
      <w:pPr>
        <w:pStyle w:val="p1"/>
        <w:ind w:left="360" w:hanging="360"/>
        <w:jc w:val="both"/>
        <w:rPr>
          <w:sz w:val="22"/>
          <w:szCs w:val="22"/>
        </w:rPr>
      </w:pPr>
      <w:r w:rsidRPr="0088203A">
        <w:rPr>
          <w:sz w:val="22"/>
          <w:szCs w:val="22"/>
        </w:rPr>
        <w:t xml:space="preserve">Bock, G.-W., Zmud, R. W., Kim, Y.-G., &amp; Lee, J.-N. L. (2005). </w:t>
      </w:r>
      <w:r w:rsidRPr="0088203A">
        <w:rPr>
          <w:i/>
          <w:iCs/>
          <w:sz w:val="22"/>
          <w:szCs w:val="22"/>
        </w:rPr>
        <w:t>Behavioral Intention</w:t>
      </w:r>
      <w:r w:rsidRPr="0088203A">
        <w:rPr>
          <w:sz w:val="22"/>
          <w:szCs w:val="22"/>
        </w:rPr>
        <w:t xml:space="preserve">94 </w:t>
      </w:r>
      <w:r w:rsidRPr="0088203A">
        <w:rPr>
          <w:i/>
          <w:iCs/>
          <w:sz w:val="22"/>
          <w:szCs w:val="22"/>
        </w:rPr>
        <w:t>Formation in Knowledge Sharing: Examining the Roles of Extrinsic Motivators,</w:t>
      </w:r>
      <w:r w:rsidRPr="0088203A">
        <w:rPr>
          <w:sz w:val="22"/>
          <w:szCs w:val="22"/>
        </w:rPr>
        <w:t xml:space="preserve"> </w:t>
      </w:r>
      <w:r w:rsidRPr="0088203A">
        <w:rPr>
          <w:i/>
          <w:iCs/>
          <w:sz w:val="22"/>
          <w:szCs w:val="22"/>
        </w:rPr>
        <w:t>Social-PsychologicalForces, and</w:t>
      </w:r>
      <w:r w:rsidR="00306663" w:rsidRPr="0088203A">
        <w:rPr>
          <w:i/>
          <w:iCs/>
          <w:sz w:val="22"/>
          <w:szCs w:val="22"/>
        </w:rPr>
        <w:t xml:space="preserve"> </w:t>
      </w:r>
      <w:r w:rsidRPr="0088203A">
        <w:rPr>
          <w:i/>
          <w:iCs/>
          <w:sz w:val="22"/>
          <w:szCs w:val="22"/>
        </w:rPr>
        <w:t>Organizational Climate</w:t>
      </w:r>
      <w:r w:rsidRPr="0088203A">
        <w:rPr>
          <w:sz w:val="22"/>
          <w:szCs w:val="22"/>
        </w:rPr>
        <w:t xml:space="preserve">. </w:t>
      </w:r>
      <w:r w:rsidRPr="0088203A">
        <w:rPr>
          <w:i/>
          <w:iCs/>
          <w:sz w:val="22"/>
          <w:szCs w:val="22"/>
        </w:rPr>
        <w:t>29</w:t>
      </w:r>
      <w:r w:rsidRPr="0088203A">
        <w:rPr>
          <w:sz w:val="22"/>
          <w:szCs w:val="22"/>
        </w:rPr>
        <w:t>(1), 87–111.</w:t>
      </w:r>
    </w:p>
    <w:p w14:paraId="564CDC3C" w14:textId="7E2F3841" w:rsidR="00AB293F" w:rsidRPr="0088203A" w:rsidRDefault="00AB293F" w:rsidP="00306663">
      <w:pPr>
        <w:pStyle w:val="p1"/>
        <w:ind w:left="360" w:hanging="360"/>
        <w:jc w:val="both"/>
        <w:rPr>
          <w:sz w:val="22"/>
          <w:szCs w:val="22"/>
        </w:rPr>
      </w:pPr>
      <w:r w:rsidRPr="0088203A">
        <w:rPr>
          <w:sz w:val="22"/>
          <w:szCs w:val="22"/>
        </w:rPr>
        <w:t xml:space="preserve">Cheng, M. M., &amp; Coyte, R. (2014). The effects of incentive subjectivity and strategy communication on knowledge-sharing and extra-role behaviours. </w:t>
      </w:r>
      <w:r w:rsidRPr="0088203A">
        <w:rPr>
          <w:i/>
          <w:iCs/>
          <w:sz w:val="22"/>
          <w:szCs w:val="22"/>
        </w:rPr>
        <w:t>Management</w:t>
      </w:r>
      <w:r w:rsidRPr="0088203A">
        <w:rPr>
          <w:sz w:val="22"/>
          <w:szCs w:val="22"/>
        </w:rPr>
        <w:t xml:space="preserve"> </w:t>
      </w:r>
      <w:r w:rsidRPr="0088203A">
        <w:rPr>
          <w:i/>
          <w:iCs/>
          <w:sz w:val="22"/>
          <w:szCs w:val="22"/>
        </w:rPr>
        <w:t>Accounting Research</w:t>
      </w:r>
      <w:r w:rsidRPr="0088203A">
        <w:rPr>
          <w:sz w:val="22"/>
          <w:szCs w:val="22"/>
        </w:rPr>
        <w:t xml:space="preserve">, </w:t>
      </w:r>
      <w:r w:rsidRPr="0088203A">
        <w:rPr>
          <w:i/>
          <w:iCs/>
          <w:sz w:val="22"/>
          <w:szCs w:val="22"/>
        </w:rPr>
        <w:t>25</w:t>
      </w:r>
      <w:r w:rsidRPr="0088203A">
        <w:rPr>
          <w:sz w:val="22"/>
          <w:szCs w:val="22"/>
        </w:rPr>
        <w:t>(2), 119–130.</w:t>
      </w:r>
    </w:p>
    <w:p w14:paraId="5DA9BF70" w14:textId="37A00AE0" w:rsidR="00AB293F" w:rsidRPr="0088203A" w:rsidRDefault="00AB293F" w:rsidP="00306663">
      <w:pPr>
        <w:pStyle w:val="p1"/>
        <w:ind w:left="360" w:hanging="360"/>
        <w:jc w:val="both"/>
        <w:rPr>
          <w:sz w:val="22"/>
          <w:szCs w:val="22"/>
        </w:rPr>
      </w:pPr>
      <w:hyperlink r:id="rId18" w:history="1">
        <w:r w:rsidRPr="0088203A">
          <w:rPr>
            <w:rStyle w:val="Hyperlink"/>
            <w:sz w:val="22"/>
            <w:szCs w:val="22"/>
          </w:rPr>
          <w:t>https://doi.org/10.1016/j.mar.2013.07.003</w:t>
        </w:r>
      </w:hyperlink>
    </w:p>
    <w:p w14:paraId="39EC3EFB" w14:textId="0F466FAA" w:rsidR="00AB293F" w:rsidRPr="0088203A" w:rsidRDefault="00AB293F" w:rsidP="00306663">
      <w:pPr>
        <w:pStyle w:val="p1"/>
        <w:ind w:left="360" w:hanging="360"/>
        <w:jc w:val="both"/>
        <w:rPr>
          <w:sz w:val="22"/>
          <w:szCs w:val="22"/>
        </w:rPr>
      </w:pPr>
      <w:r w:rsidRPr="0088203A">
        <w:rPr>
          <w:sz w:val="22"/>
          <w:szCs w:val="22"/>
        </w:rPr>
        <w:t xml:space="preserve">Chiang, F. F. T., &amp; Birtch, T. A. (2012). The Performance Implications of Finansial and Non-Financial Rewards: An Asian Nordic Comparison. </w:t>
      </w:r>
      <w:r w:rsidRPr="0088203A">
        <w:rPr>
          <w:i/>
          <w:iCs/>
          <w:sz w:val="22"/>
          <w:szCs w:val="22"/>
        </w:rPr>
        <w:t>Journal of</w:t>
      </w:r>
      <w:r w:rsidRPr="0088203A">
        <w:rPr>
          <w:sz w:val="22"/>
          <w:szCs w:val="22"/>
        </w:rPr>
        <w:t xml:space="preserve"> </w:t>
      </w:r>
      <w:r w:rsidRPr="0088203A">
        <w:rPr>
          <w:i/>
          <w:iCs/>
          <w:sz w:val="22"/>
          <w:szCs w:val="22"/>
        </w:rPr>
        <w:t>Management Studies</w:t>
      </w:r>
      <w:r w:rsidRPr="0088203A">
        <w:rPr>
          <w:sz w:val="22"/>
          <w:szCs w:val="22"/>
        </w:rPr>
        <w:t xml:space="preserve">, </w:t>
      </w:r>
      <w:r w:rsidRPr="0088203A">
        <w:rPr>
          <w:i/>
          <w:iCs/>
          <w:sz w:val="22"/>
          <w:szCs w:val="22"/>
        </w:rPr>
        <w:t>49</w:t>
      </w:r>
      <w:r w:rsidRPr="0088203A">
        <w:rPr>
          <w:sz w:val="22"/>
          <w:szCs w:val="22"/>
        </w:rPr>
        <w:t xml:space="preserve">(3), 538–570. </w:t>
      </w:r>
      <w:hyperlink r:id="rId19" w:history="1">
        <w:r w:rsidRPr="0088203A">
          <w:rPr>
            <w:rStyle w:val="Hyperlink"/>
            <w:sz w:val="22"/>
            <w:szCs w:val="22"/>
          </w:rPr>
          <w:t>https://doi.org/10.1111/j.1467-</w:t>
        </w:r>
      </w:hyperlink>
      <w:r w:rsidRPr="0088203A">
        <w:rPr>
          <w:sz w:val="22"/>
          <w:szCs w:val="22"/>
        </w:rPr>
        <w:t xml:space="preserve"> 6486.2011.01018.x</w:t>
      </w:r>
    </w:p>
    <w:p w14:paraId="56A1BEE9" w14:textId="79829F22" w:rsidR="00AB293F" w:rsidRPr="0088203A" w:rsidRDefault="00AB293F" w:rsidP="00306663">
      <w:pPr>
        <w:pStyle w:val="p1"/>
        <w:ind w:left="360" w:hanging="360"/>
        <w:jc w:val="both"/>
        <w:rPr>
          <w:sz w:val="22"/>
          <w:szCs w:val="22"/>
        </w:rPr>
      </w:pPr>
      <w:r w:rsidRPr="0088203A">
        <w:rPr>
          <w:sz w:val="22"/>
          <w:szCs w:val="22"/>
        </w:rPr>
        <w:t xml:space="preserve">Deci, E. L., &amp; Ryan, R. M. (2000). Psychological Inquiry : An International Journal for the Advancement of Psychological Theory The " What " and " Why " of95 Goal Pursuits : Human Needs and the Self-Determination of Behavior The “What” and “Why” of Goal Pursuits : Human Needs and the Sel. </w:t>
      </w:r>
      <w:r w:rsidRPr="0088203A">
        <w:rPr>
          <w:i/>
          <w:iCs/>
          <w:sz w:val="22"/>
          <w:szCs w:val="22"/>
        </w:rPr>
        <w:t>Psychological</w:t>
      </w:r>
      <w:r w:rsidRPr="0088203A">
        <w:rPr>
          <w:sz w:val="22"/>
          <w:szCs w:val="22"/>
        </w:rPr>
        <w:t xml:space="preserve"> </w:t>
      </w:r>
      <w:r w:rsidRPr="0088203A">
        <w:rPr>
          <w:i/>
          <w:iCs/>
          <w:sz w:val="22"/>
          <w:szCs w:val="22"/>
        </w:rPr>
        <w:t>Inquiry</w:t>
      </w:r>
      <w:r w:rsidRPr="0088203A">
        <w:rPr>
          <w:sz w:val="22"/>
          <w:szCs w:val="22"/>
        </w:rPr>
        <w:t xml:space="preserve">, </w:t>
      </w:r>
      <w:r w:rsidRPr="0088203A">
        <w:rPr>
          <w:i/>
          <w:iCs/>
          <w:sz w:val="22"/>
          <w:szCs w:val="22"/>
        </w:rPr>
        <w:t>11</w:t>
      </w:r>
      <w:r w:rsidRPr="0088203A">
        <w:rPr>
          <w:sz w:val="22"/>
          <w:szCs w:val="22"/>
        </w:rPr>
        <w:t>(4), 37–41.</w:t>
      </w:r>
    </w:p>
    <w:p w14:paraId="07D6A6CE" w14:textId="2321771E" w:rsidR="00AB293F" w:rsidRPr="0088203A" w:rsidRDefault="00AB293F" w:rsidP="00306663">
      <w:pPr>
        <w:pStyle w:val="p1"/>
        <w:ind w:left="360" w:hanging="360"/>
        <w:jc w:val="both"/>
        <w:rPr>
          <w:sz w:val="22"/>
          <w:szCs w:val="22"/>
        </w:rPr>
      </w:pPr>
      <w:r w:rsidRPr="0088203A">
        <w:rPr>
          <w:sz w:val="22"/>
          <w:szCs w:val="22"/>
        </w:rPr>
        <w:t xml:space="preserve">Ding, X. H., He, Y., Wu, J., &amp; Cheng, C. (2016). Effects of positive incentive and negative incentive in knowledge transfer: carrot and stick. </w:t>
      </w:r>
      <w:r w:rsidRPr="0088203A">
        <w:rPr>
          <w:i/>
          <w:iCs/>
          <w:sz w:val="22"/>
          <w:szCs w:val="22"/>
        </w:rPr>
        <w:t>Chinese Management</w:t>
      </w:r>
      <w:r w:rsidRPr="0088203A">
        <w:rPr>
          <w:sz w:val="22"/>
          <w:szCs w:val="22"/>
        </w:rPr>
        <w:t xml:space="preserve"> </w:t>
      </w:r>
      <w:r w:rsidRPr="0088203A">
        <w:rPr>
          <w:i/>
          <w:iCs/>
          <w:sz w:val="22"/>
          <w:szCs w:val="22"/>
        </w:rPr>
        <w:t>Studies</w:t>
      </w:r>
      <w:r w:rsidRPr="0088203A">
        <w:rPr>
          <w:sz w:val="22"/>
          <w:szCs w:val="22"/>
        </w:rPr>
        <w:t xml:space="preserve">, </w:t>
      </w:r>
      <w:r w:rsidRPr="0088203A">
        <w:rPr>
          <w:i/>
          <w:iCs/>
          <w:sz w:val="22"/>
          <w:szCs w:val="22"/>
        </w:rPr>
        <w:t>10</w:t>
      </w:r>
      <w:r w:rsidRPr="0088203A">
        <w:rPr>
          <w:sz w:val="22"/>
          <w:szCs w:val="22"/>
        </w:rPr>
        <w:t xml:space="preserve">(3), 593–614. </w:t>
      </w:r>
      <w:hyperlink r:id="rId20" w:history="1">
        <w:r w:rsidRPr="0088203A">
          <w:rPr>
            <w:rStyle w:val="Hyperlink"/>
            <w:sz w:val="22"/>
            <w:szCs w:val="22"/>
          </w:rPr>
          <w:t>https://doi.org/10.1108/CMS-01-2016-0006</w:t>
        </w:r>
      </w:hyperlink>
    </w:p>
    <w:p w14:paraId="08492AA9" w14:textId="26CCF895" w:rsidR="00AB293F" w:rsidRPr="0088203A" w:rsidRDefault="00AB293F" w:rsidP="00306663">
      <w:pPr>
        <w:pStyle w:val="p1"/>
        <w:ind w:left="360" w:hanging="360"/>
        <w:jc w:val="both"/>
        <w:rPr>
          <w:sz w:val="22"/>
          <w:szCs w:val="22"/>
        </w:rPr>
      </w:pPr>
      <w:r w:rsidRPr="0088203A">
        <w:rPr>
          <w:sz w:val="22"/>
          <w:szCs w:val="22"/>
        </w:rPr>
        <w:t xml:space="preserve">Gagné, M., Tian, A. W., Soo, C., Zhang, B., Ho, K. S. B., &amp; Hosszu, K. (2019). Different motivations for knowledge sharing and hiding: The role of motivating work design. </w:t>
      </w:r>
      <w:r w:rsidRPr="0088203A">
        <w:rPr>
          <w:i/>
          <w:iCs/>
          <w:sz w:val="22"/>
          <w:szCs w:val="22"/>
        </w:rPr>
        <w:t>Journal of Organizational Behavior</w:t>
      </w:r>
      <w:r w:rsidRPr="0088203A">
        <w:rPr>
          <w:sz w:val="22"/>
          <w:szCs w:val="22"/>
        </w:rPr>
        <w:t xml:space="preserve">, </w:t>
      </w:r>
      <w:r w:rsidRPr="0088203A">
        <w:rPr>
          <w:i/>
          <w:iCs/>
          <w:sz w:val="22"/>
          <w:szCs w:val="22"/>
        </w:rPr>
        <w:t>40</w:t>
      </w:r>
      <w:r w:rsidRPr="0088203A">
        <w:rPr>
          <w:sz w:val="22"/>
          <w:szCs w:val="22"/>
        </w:rPr>
        <w:t xml:space="preserve">(7), 783–799. </w:t>
      </w:r>
      <w:hyperlink r:id="rId21" w:history="1">
        <w:r w:rsidRPr="0088203A">
          <w:rPr>
            <w:rStyle w:val="Hyperlink"/>
            <w:sz w:val="22"/>
            <w:szCs w:val="22"/>
          </w:rPr>
          <w:t>https://doi.org/10.1002/job.2364</w:t>
        </w:r>
      </w:hyperlink>
    </w:p>
    <w:p w14:paraId="52A7455B" w14:textId="4971F557" w:rsidR="00AB293F" w:rsidRPr="0088203A" w:rsidRDefault="00AB293F" w:rsidP="00306663">
      <w:pPr>
        <w:pStyle w:val="p1"/>
        <w:ind w:left="360" w:hanging="360"/>
        <w:jc w:val="both"/>
        <w:rPr>
          <w:sz w:val="22"/>
          <w:szCs w:val="22"/>
        </w:rPr>
      </w:pPr>
      <w:r w:rsidRPr="0088203A">
        <w:rPr>
          <w:sz w:val="22"/>
          <w:szCs w:val="22"/>
        </w:rPr>
        <w:t xml:space="preserve">Haesebrouck, K., Cools, M., &amp; Van Den Abbeele, A. (2018). Status differences and knowledge transfer: The effect of incentives. </w:t>
      </w:r>
      <w:r w:rsidRPr="0088203A">
        <w:rPr>
          <w:i/>
          <w:iCs/>
          <w:sz w:val="22"/>
          <w:szCs w:val="22"/>
        </w:rPr>
        <w:t>Accounting Review</w:t>
      </w:r>
      <w:r w:rsidRPr="0088203A">
        <w:rPr>
          <w:sz w:val="22"/>
          <w:szCs w:val="22"/>
        </w:rPr>
        <w:t xml:space="preserve">, </w:t>
      </w:r>
      <w:r w:rsidRPr="0088203A">
        <w:rPr>
          <w:i/>
          <w:iCs/>
          <w:sz w:val="22"/>
          <w:szCs w:val="22"/>
        </w:rPr>
        <w:t>93</w:t>
      </w:r>
      <w:r w:rsidRPr="0088203A">
        <w:rPr>
          <w:sz w:val="22"/>
          <w:szCs w:val="22"/>
        </w:rPr>
        <w:t>(1), 213– 234. https://doi.org/10.2308/accr-51765</w:t>
      </w:r>
    </w:p>
    <w:p w14:paraId="0884871D" w14:textId="294AD181" w:rsidR="00AB293F" w:rsidRPr="0088203A" w:rsidRDefault="00AB293F" w:rsidP="00306663">
      <w:pPr>
        <w:pStyle w:val="p1"/>
        <w:ind w:left="360" w:hanging="360"/>
        <w:jc w:val="both"/>
        <w:rPr>
          <w:sz w:val="22"/>
          <w:szCs w:val="22"/>
        </w:rPr>
      </w:pPr>
      <w:r w:rsidRPr="0088203A">
        <w:rPr>
          <w:sz w:val="22"/>
          <w:szCs w:val="22"/>
        </w:rPr>
        <w:t xml:space="preserve">Hau, Y. S., Kim, B., Lee, H., &amp; Kim, Y. G. (2013). The effects of individual </w:t>
      </w:r>
      <w:r w:rsidRPr="0088203A">
        <w:rPr>
          <w:sz w:val="22"/>
          <w:szCs w:val="22"/>
        </w:rPr>
        <w:lastRenderedPageBreak/>
        <w:t xml:space="preserve">motivations and social capital on employees’ tacit and explicit knowledge sharing intentions. </w:t>
      </w:r>
      <w:r w:rsidRPr="0088203A">
        <w:rPr>
          <w:i/>
          <w:iCs/>
          <w:sz w:val="22"/>
          <w:szCs w:val="22"/>
        </w:rPr>
        <w:t>International Journal of Information Management</w:t>
      </w:r>
      <w:r w:rsidRPr="0088203A">
        <w:rPr>
          <w:sz w:val="22"/>
          <w:szCs w:val="22"/>
        </w:rPr>
        <w:t xml:space="preserve">, </w:t>
      </w:r>
      <w:r w:rsidRPr="0088203A">
        <w:rPr>
          <w:i/>
          <w:iCs/>
          <w:sz w:val="22"/>
          <w:szCs w:val="22"/>
        </w:rPr>
        <w:t>33</w:t>
      </w:r>
      <w:r w:rsidRPr="0088203A">
        <w:rPr>
          <w:sz w:val="22"/>
          <w:szCs w:val="22"/>
        </w:rPr>
        <w:t xml:space="preserve">(2), 356–366. </w:t>
      </w:r>
      <w:hyperlink r:id="rId22" w:history="1">
        <w:r w:rsidRPr="0088203A">
          <w:rPr>
            <w:rStyle w:val="Hyperlink"/>
            <w:sz w:val="22"/>
            <w:szCs w:val="22"/>
          </w:rPr>
          <w:t>https://doi.org/10.1016/j.ijinfomgt.2012.10.009</w:t>
        </w:r>
      </w:hyperlink>
    </w:p>
    <w:p w14:paraId="4A1A0A4F" w14:textId="228AE8B0" w:rsidR="00AB293F" w:rsidRPr="0088203A" w:rsidRDefault="00AB293F" w:rsidP="00306663">
      <w:pPr>
        <w:pStyle w:val="p1"/>
        <w:ind w:left="360" w:hanging="360"/>
        <w:jc w:val="both"/>
        <w:rPr>
          <w:sz w:val="22"/>
          <w:szCs w:val="22"/>
        </w:rPr>
      </w:pPr>
      <w:r w:rsidRPr="0088203A">
        <w:rPr>
          <w:sz w:val="22"/>
          <w:szCs w:val="22"/>
        </w:rPr>
        <w:t xml:space="preserve">Ilyana, S., &amp; Sholihin, M. (2021). </w:t>
      </w:r>
      <w:r w:rsidR="0007661B" w:rsidRPr="0088203A">
        <w:rPr>
          <w:i/>
          <w:iCs/>
          <w:sz w:val="22"/>
          <w:szCs w:val="22"/>
        </w:rPr>
        <w:t>The Effect Of Incentives And</w:t>
      </w:r>
      <w:r w:rsidR="0007661B" w:rsidRPr="0088203A">
        <w:rPr>
          <w:sz w:val="22"/>
          <w:szCs w:val="22"/>
        </w:rPr>
        <w:t xml:space="preserve"> </w:t>
      </w:r>
      <w:r w:rsidR="0007661B" w:rsidRPr="0088203A">
        <w:rPr>
          <w:i/>
          <w:iCs/>
          <w:sz w:val="22"/>
          <w:szCs w:val="22"/>
        </w:rPr>
        <w:t>Leadership Styles</w:t>
      </w:r>
      <w:r w:rsidR="0007661B" w:rsidRPr="0088203A">
        <w:rPr>
          <w:sz w:val="22"/>
          <w:szCs w:val="22"/>
        </w:rPr>
        <w:t xml:space="preserve">. </w:t>
      </w:r>
      <w:r w:rsidRPr="0088203A">
        <w:rPr>
          <w:i/>
          <w:iCs/>
          <w:sz w:val="22"/>
          <w:szCs w:val="22"/>
        </w:rPr>
        <w:t>36</w:t>
      </w:r>
      <w:r w:rsidRPr="0088203A">
        <w:rPr>
          <w:sz w:val="22"/>
          <w:szCs w:val="22"/>
        </w:rPr>
        <w:t>(1), 14–30.</w:t>
      </w:r>
    </w:p>
    <w:p w14:paraId="5DA1F406" w14:textId="2ACE0A8C" w:rsidR="00AB293F" w:rsidRPr="0088203A" w:rsidRDefault="00AB293F" w:rsidP="00306663">
      <w:pPr>
        <w:pStyle w:val="p1"/>
        <w:ind w:left="360" w:hanging="360"/>
        <w:jc w:val="both"/>
        <w:rPr>
          <w:sz w:val="22"/>
          <w:szCs w:val="22"/>
        </w:rPr>
      </w:pPr>
      <w:r w:rsidRPr="0088203A">
        <w:rPr>
          <w:sz w:val="22"/>
          <w:szCs w:val="22"/>
        </w:rPr>
        <w:t xml:space="preserve">Jensen, M. C., &amp; Meckling, W. H. (1976). Theory oh the Firm: Managerial Behavior, Agency Costs and Ownership Structure. </w:t>
      </w:r>
      <w:r w:rsidRPr="0088203A">
        <w:rPr>
          <w:i/>
          <w:iCs/>
          <w:sz w:val="22"/>
          <w:szCs w:val="22"/>
        </w:rPr>
        <w:t>Journal of Financial Economics</w:t>
      </w:r>
      <w:r w:rsidRPr="0088203A">
        <w:rPr>
          <w:sz w:val="22"/>
          <w:szCs w:val="22"/>
        </w:rPr>
        <w:t xml:space="preserve">, </w:t>
      </w:r>
      <w:r w:rsidRPr="0088203A">
        <w:rPr>
          <w:i/>
          <w:iCs/>
          <w:sz w:val="22"/>
          <w:szCs w:val="22"/>
        </w:rPr>
        <w:t>3</w:t>
      </w:r>
      <w:r w:rsidRPr="0088203A">
        <w:rPr>
          <w:sz w:val="22"/>
          <w:szCs w:val="22"/>
        </w:rPr>
        <w:t>, 305–360.</w:t>
      </w:r>
    </w:p>
    <w:p w14:paraId="2E7231F4" w14:textId="220CA36E" w:rsidR="00AB293F" w:rsidRPr="0088203A" w:rsidRDefault="00AB293F" w:rsidP="00306663">
      <w:pPr>
        <w:pStyle w:val="p1"/>
        <w:ind w:left="360" w:hanging="360"/>
        <w:jc w:val="both"/>
        <w:rPr>
          <w:sz w:val="22"/>
          <w:szCs w:val="22"/>
        </w:rPr>
      </w:pPr>
      <w:r w:rsidRPr="0088203A">
        <w:rPr>
          <w:sz w:val="22"/>
          <w:szCs w:val="22"/>
        </w:rPr>
        <w:t xml:space="preserve">Kankanhalli, A., Tan, B. C. Y., &amp; Wei, K.-K. (2005). Contributing knowledge to electronic knowledge repositories. </w:t>
      </w:r>
      <w:r w:rsidRPr="0088203A">
        <w:rPr>
          <w:i/>
          <w:iCs/>
          <w:sz w:val="22"/>
          <w:szCs w:val="22"/>
        </w:rPr>
        <w:t>An Empirical Investigation</w:t>
      </w:r>
      <w:r w:rsidRPr="0088203A">
        <w:rPr>
          <w:sz w:val="22"/>
          <w:szCs w:val="22"/>
        </w:rPr>
        <w:t xml:space="preserve">, </w:t>
      </w:r>
      <w:r w:rsidRPr="0088203A">
        <w:rPr>
          <w:i/>
          <w:iCs/>
          <w:sz w:val="22"/>
          <w:szCs w:val="22"/>
        </w:rPr>
        <w:t>29</w:t>
      </w:r>
      <w:r w:rsidRPr="0088203A">
        <w:rPr>
          <w:sz w:val="22"/>
          <w:szCs w:val="22"/>
        </w:rPr>
        <w:t xml:space="preserve">(1), 113–143. </w:t>
      </w:r>
      <w:hyperlink r:id="rId23" w:history="1">
        <w:r w:rsidRPr="0088203A">
          <w:rPr>
            <w:rStyle w:val="Hyperlink"/>
            <w:sz w:val="22"/>
            <w:szCs w:val="22"/>
          </w:rPr>
          <w:t>http://www.scopus.com/inward/record.url?scp=28744434462&amp;partnerID=8YFLogxK%0Ahttps://www.scopus.com/record/pubmetrics.uri?eid=2-s2.0</w:t>
        </w:r>
      </w:hyperlink>
      <w:r w:rsidRPr="0088203A">
        <w:rPr>
          <w:sz w:val="22"/>
          <w:szCs w:val="22"/>
        </w:rPr>
        <w:t xml:space="preserve"> 28744434462&amp;origin=recordpage</w:t>
      </w:r>
    </w:p>
    <w:p w14:paraId="2CDF04EB" w14:textId="77777777" w:rsidR="00AB293F" w:rsidRPr="0088203A" w:rsidRDefault="00AB293F" w:rsidP="00306663">
      <w:pPr>
        <w:pStyle w:val="p1"/>
        <w:ind w:left="360" w:hanging="360"/>
        <w:jc w:val="both"/>
        <w:rPr>
          <w:sz w:val="22"/>
          <w:szCs w:val="22"/>
        </w:rPr>
      </w:pPr>
    </w:p>
    <w:p w14:paraId="1F01511B" w14:textId="23380056" w:rsidR="00AB293F" w:rsidRPr="0088203A" w:rsidRDefault="00AB293F" w:rsidP="00306663">
      <w:pPr>
        <w:pStyle w:val="p1"/>
        <w:ind w:left="360" w:hanging="360"/>
        <w:jc w:val="both"/>
        <w:rPr>
          <w:sz w:val="22"/>
          <w:szCs w:val="22"/>
        </w:rPr>
      </w:pPr>
      <w:r w:rsidRPr="0088203A">
        <w:rPr>
          <w:sz w:val="22"/>
          <w:szCs w:val="22"/>
        </w:rPr>
        <w:t xml:space="preserve">Kettles, D., St. Louis, R. D., &amp; Steinbart, P. J. (2017). An experimental investigation of the individual and joint effects of financial and non-financial incentives on knowledge sharing using enterprise social media. </w:t>
      </w:r>
      <w:r w:rsidRPr="0088203A">
        <w:rPr>
          <w:i/>
          <w:iCs/>
          <w:sz w:val="22"/>
          <w:szCs w:val="22"/>
        </w:rPr>
        <w:t>Communications of the</w:t>
      </w:r>
      <w:r w:rsidRPr="0088203A">
        <w:rPr>
          <w:sz w:val="22"/>
          <w:szCs w:val="22"/>
        </w:rPr>
        <w:t xml:space="preserve"> </w:t>
      </w:r>
      <w:r w:rsidRPr="0088203A">
        <w:rPr>
          <w:i/>
          <w:iCs/>
          <w:sz w:val="22"/>
          <w:szCs w:val="22"/>
        </w:rPr>
        <w:t>Association for Information Systems</w:t>
      </w:r>
      <w:r w:rsidRPr="0088203A">
        <w:rPr>
          <w:sz w:val="22"/>
          <w:szCs w:val="22"/>
        </w:rPr>
        <w:t xml:space="preserve">, </w:t>
      </w:r>
      <w:r w:rsidRPr="0088203A">
        <w:rPr>
          <w:i/>
          <w:iCs/>
          <w:sz w:val="22"/>
          <w:szCs w:val="22"/>
        </w:rPr>
        <w:t>41</w:t>
      </w:r>
      <w:r w:rsidRPr="0088203A">
        <w:rPr>
          <w:sz w:val="22"/>
          <w:szCs w:val="22"/>
        </w:rPr>
        <w:t>(1), 639–673.https://doi.org/10.17705/1CAIS.04127</w:t>
      </w:r>
    </w:p>
    <w:p w14:paraId="2FE4EB4C" w14:textId="739A63FD" w:rsidR="00AB293F" w:rsidRPr="0088203A" w:rsidRDefault="00AB293F" w:rsidP="00306663">
      <w:pPr>
        <w:pStyle w:val="p1"/>
        <w:ind w:left="360" w:hanging="360"/>
        <w:jc w:val="both"/>
        <w:rPr>
          <w:sz w:val="22"/>
          <w:szCs w:val="22"/>
        </w:rPr>
      </w:pPr>
      <w:r w:rsidRPr="0088203A">
        <w:rPr>
          <w:sz w:val="22"/>
          <w:szCs w:val="22"/>
        </w:rPr>
        <w:t xml:space="preserve">Kistyanto, A., &amp; Wahyuni, R. R. T. (2013). Pengaruh Berbagi Pengetahuan Terhadap Kinerja Departemen Melalui Inovasi Jasa/Pelayanan. </w:t>
      </w:r>
      <w:r w:rsidRPr="0088203A">
        <w:rPr>
          <w:i/>
          <w:iCs/>
          <w:sz w:val="22"/>
          <w:szCs w:val="22"/>
        </w:rPr>
        <w:t>Jurnal Ilmu Manajemen</w:t>
      </w:r>
      <w:r w:rsidRPr="0088203A">
        <w:rPr>
          <w:sz w:val="22"/>
          <w:szCs w:val="22"/>
        </w:rPr>
        <w:t xml:space="preserve">, </w:t>
      </w:r>
      <w:r w:rsidRPr="0088203A">
        <w:rPr>
          <w:i/>
          <w:iCs/>
          <w:sz w:val="22"/>
          <w:szCs w:val="22"/>
        </w:rPr>
        <w:t>1</w:t>
      </w:r>
      <w:r w:rsidRPr="0088203A">
        <w:rPr>
          <w:sz w:val="22"/>
          <w:szCs w:val="22"/>
        </w:rPr>
        <w:t>.</w:t>
      </w:r>
    </w:p>
    <w:p w14:paraId="05783738" w14:textId="1E26CC66" w:rsidR="00AB293F" w:rsidRPr="0088203A" w:rsidRDefault="00AB293F" w:rsidP="00306663">
      <w:pPr>
        <w:pStyle w:val="p1"/>
        <w:ind w:left="360" w:hanging="360"/>
        <w:jc w:val="both"/>
        <w:rPr>
          <w:sz w:val="22"/>
          <w:szCs w:val="22"/>
        </w:rPr>
      </w:pPr>
      <w:r w:rsidRPr="0088203A">
        <w:rPr>
          <w:sz w:val="22"/>
          <w:szCs w:val="22"/>
        </w:rPr>
        <w:t xml:space="preserve">Lam, A., &amp; Lambermont-Ford, J. P. (2010). Knowledge sharing in organisational contexts: A motivation-based perspective. </w:t>
      </w:r>
      <w:r w:rsidRPr="0088203A">
        <w:rPr>
          <w:i/>
          <w:iCs/>
          <w:sz w:val="22"/>
          <w:szCs w:val="22"/>
        </w:rPr>
        <w:t>Journal of Knowledge Management</w:t>
      </w:r>
      <w:r w:rsidRPr="0088203A">
        <w:rPr>
          <w:sz w:val="22"/>
          <w:szCs w:val="22"/>
        </w:rPr>
        <w:t xml:space="preserve">, </w:t>
      </w:r>
      <w:r w:rsidRPr="0088203A">
        <w:rPr>
          <w:i/>
          <w:iCs/>
          <w:sz w:val="22"/>
          <w:szCs w:val="22"/>
        </w:rPr>
        <w:t>14</w:t>
      </w:r>
      <w:r w:rsidRPr="0088203A">
        <w:rPr>
          <w:sz w:val="22"/>
          <w:szCs w:val="22"/>
        </w:rPr>
        <w:t xml:space="preserve">(1), 51–66. </w:t>
      </w:r>
      <w:hyperlink r:id="rId24" w:history="1">
        <w:r w:rsidRPr="0088203A">
          <w:rPr>
            <w:rStyle w:val="Hyperlink"/>
            <w:sz w:val="22"/>
            <w:szCs w:val="22"/>
          </w:rPr>
          <w:t>https://doi.org/10.1108/13673271011015561</w:t>
        </w:r>
      </w:hyperlink>
    </w:p>
    <w:p w14:paraId="0B7CF885" w14:textId="0CF43CF8" w:rsidR="00AB293F" w:rsidRPr="0088203A" w:rsidRDefault="00AB293F" w:rsidP="00306663">
      <w:pPr>
        <w:pStyle w:val="p1"/>
        <w:ind w:left="360" w:hanging="360"/>
        <w:jc w:val="both"/>
        <w:rPr>
          <w:sz w:val="22"/>
          <w:szCs w:val="22"/>
        </w:rPr>
      </w:pPr>
      <w:r w:rsidRPr="0088203A">
        <w:rPr>
          <w:sz w:val="22"/>
          <w:szCs w:val="22"/>
        </w:rPr>
        <w:t xml:space="preserve">Liu, H., &amp; Li, G. (2017). To gain or not to lose? The effect of monetary reward on motivation and knowledge contribution. </w:t>
      </w:r>
      <w:r w:rsidRPr="0088203A">
        <w:rPr>
          <w:i/>
          <w:iCs/>
          <w:sz w:val="22"/>
          <w:szCs w:val="22"/>
        </w:rPr>
        <w:t>Journal of Knowledge Management</w:t>
      </w:r>
      <w:r w:rsidRPr="0088203A">
        <w:rPr>
          <w:sz w:val="22"/>
          <w:szCs w:val="22"/>
        </w:rPr>
        <w:t xml:space="preserve">, </w:t>
      </w:r>
      <w:r w:rsidRPr="0088203A">
        <w:rPr>
          <w:i/>
          <w:iCs/>
          <w:sz w:val="22"/>
          <w:szCs w:val="22"/>
        </w:rPr>
        <w:t>21</w:t>
      </w:r>
      <w:r w:rsidRPr="0088203A">
        <w:rPr>
          <w:sz w:val="22"/>
          <w:szCs w:val="22"/>
        </w:rPr>
        <w:t>(2), 397–415. https://doi.org/10.1108/JKM-03-2016-0100</w:t>
      </w:r>
    </w:p>
    <w:p w14:paraId="50D1D0C1" w14:textId="4DD62E49" w:rsidR="00AB293F" w:rsidRPr="0088203A" w:rsidRDefault="00AB293F" w:rsidP="00306663">
      <w:pPr>
        <w:pStyle w:val="p1"/>
        <w:ind w:left="360" w:hanging="360"/>
        <w:jc w:val="both"/>
        <w:rPr>
          <w:sz w:val="22"/>
          <w:szCs w:val="22"/>
        </w:rPr>
      </w:pPr>
      <w:r w:rsidRPr="0088203A">
        <w:rPr>
          <w:sz w:val="22"/>
          <w:szCs w:val="22"/>
        </w:rPr>
        <w:t xml:space="preserve">Masa’deh, R., Obeidat, B. Y., &amp; Tarhini, A. (2016). A Jordanian empirical study of the associations among transformational leadership, transactional leadership, knowledge sharing, job performance, and firm performance: A structural equation modelling approach. </w:t>
      </w:r>
      <w:r w:rsidRPr="0088203A">
        <w:rPr>
          <w:i/>
          <w:iCs/>
          <w:sz w:val="22"/>
          <w:szCs w:val="22"/>
        </w:rPr>
        <w:t>Journal of Management Development</w:t>
      </w:r>
      <w:r w:rsidRPr="0088203A">
        <w:rPr>
          <w:sz w:val="22"/>
          <w:szCs w:val="22"/>
        </w:rPr>
        <w:t xml:space="preserve">, </w:t>
      </w:r>
      <w:r w:rsidRPr="0088203A">
        <w:rPr>
          <w:i/>
          <w:iCs/>
          <w:sz w:val="22"/>
          <w:szCs w:val="22"/>
        </w:rPr>
        <w:t>35</w:t>
      </w:r>
      <w:r w:rsidRPr="0088203A">
        <w:rPr>
          <w:sz w:val="22"/>
          <w:szCs w:val="22"/>
        </w:rPr>
        <w:t xml:space="preserve">(5), 681–705. </w:t>
      </w:r>
      <w:hyperlink r:id="rId25" w:history="1">
        <w:r w:rsidRPr="0088203A">
          <w:rPr>
            <w:rStyle w:val="Hyperlink"/>
            <w:sz w:val="22"/>
            <w:szCs w:val="22"/>
          </w:rPr>
          <w:t>https://doi.org/10.1108/JMD-09-2015-0134</w:t>
        </w:r>
      </w:hyperlink>
    </w:p>
    <w:p w14:paraId="4D6EC191" w14:textId="3D2858A8" w:rsidR="00AB293F" w:rsidRPr="0088203A" w:rsidRDefault="00AB293F" w:rsidP="00306663">
      <w:pPr>
        <w:pStyle w:val="p1"/>
        <w:ind w:left="360" w:hanging="360"/>
        <w:jc w:val="both"/>
        <w:rPr>
          <w:sz w:val="22"/>
          <w:szCs w:val="22"/>
        </w:rPr>
      </w:pPr>
      <w:r w:rsidRPr="0088203A">
        <w:rPr>
          <w:sz w:val="22"/>
          <w:szCs w:val="22"/>
        </w:rPr>
        <w:t xml:space="preserve">Park, J., Lee, H., &amp; Lee, J. (2013). </w:t>
      </w:r>
      <w:r w:rsidRPr="0088203A">
        <w:rPr>
          <w:i/>
          <w:iCs/>
          <w:sz w:val="22"/>
          <w:szCs w:val="22"/>
        </w:rPr>
        <w:t>Exploring Antecedents of Knowledge Sharing in</w:t>
      </w:r>
      <w:r w:rsidRPr="0088203A">
        <w:rPr>
          <w:sz w:val="22"/>
          <w:szCs w:val="22"/>
        </w:rPr>
        <w:t xml:space="preserve"> </w:t>
      </w:r>
      <w:r w:rsidRPr="0088203A">
        <w:rPr>
          <w:i/>
          <w:iCs/>
          <w:sz w:val="22"/>
          <w:szCs w:val="22"/>
        </w:rPr>
        <w:t>Team-based Innovation Activities</w:t>
      </w:r>
      <w:r w:rsidRPr="0088203A">
        <w:rPr>
          <w:sz w:val="22"/>
          <w:szCs w:val="22"/>
        </w:rPr>
        <w:t>. 253–271. doi: 10.9716/kits.2013.12.3.253</w:t>
      </w:r>
    </w:p>
    <w:p w14:paraId="68C2D9F9" w14:textId="4BD80533" w:rsidR="00AB293F" w:rsidRPr="0088203A" w:rsidRDefault="00AB293F" w:rsidP="00306663">
      <w:pPr>
        <w:pStyle w:val="p1"/>
        <w:ind w:left="360" w:hanging="360"/>
        <w:jc w:val="both"/>
        <w:rPr>
          <w:sz w:val="22"/>
          <w:szCs w:val="22"/>
        </w:rPr>
      </w:pPr>
      <w:r w:rsidRPr="0088203A">
        <w:rPr>
          <w:sz w:val="22"/>
          <w:szCs w:val="22"/>
        </w:rPr>
        <w:t xml:space="preserve">Peng, H. (2013). Why and when do people hide knowledge? </w:t>
      </w:r>
      <w:r w:rsidRPr="0088203A">
        <w:rPr>
          <w:i/>
          <w:iCs/>
          <w:sz w:val="22"/>
          <w:szCs w:val="22"/>
        </w:rPr>
        <w:t>Journal of Knowledge</w:t>
      </w:r>
      <w:r w:rsidRPr="0088203A">
        <w:rPr>
          <w:sz w:val="22"/>
          <w:szCs w:val="22"/>
        </w:rPr>
        <w:t xml:space="preserve"> </w:t>
      </w:r>
      <w:r w:rsidRPr="0088203A">
        <w:rPr>
          <w:i/>
          <w:iCs/>
          <w:sz w:val="22"/>
          <w:szCs w:val="22"/>
        </w:rPr>
        <w:t>Management</w:t>
      </w:r>
      <w:r w:rsidRPr="0088203A">
        <w:rPr>
          <w:sz w:val="22"/>
          <w:szCs w:val="22"/>
        </w:rPr>
        <w:t xml:space="preserve">, </w:t>
      </w:r>
      <w:r w:rsidRPr="0088203A">
        <w:rPr>
          <w:i/>
          <w:iCs/>
          <w:sz w:val="22"/>
          <w:szCs w:val="22"/>
        </w:rPr>
        <w:t>17</w:t>
      </w:r>
      <w:r w:rsidRPr="0088203A">
        <w:rPr>
          <w:sz w:val="22"/>
          <w:szCs w:val="22"/>
        </w:rPr>
        <w:t xml:space="preserve">(3), 398–415. </w:t>
      </w:r>
      <w:hyperlink r:id="rId26" w:history="1">
        <w:r w:rsidRPr="0088203A">
          <w:rPr>
            <w:rStyle w:val="Hyperlink"/>
            <w:sz w:val="22"/>
            <w:szCs w:val="22"/>
          </w:rPr>
          <w:t>https://doi.org/10.1108/JKM-12-2012-0380</w:t>
        </w:r>
      </w:hyperlink>
    </w:p>
    <w:p w14:paraId="273988F4" w14:textId="53AD1360" w:rsidR="00AB293F" w:rsidRPr="0088203A" w:rsidRDefault="00AB293F" w:rsidP="00306663">
      <w:pPr>
        <w:pStyle w:val="p1"/>
        <w:ind w:left="360" w:hanging="360"/>
        <w:jc w:val="both"/>
        <w:rPr>
          <w:sz w:val="22"/>
          <w:szCs w:val="22"/>
        </w:rPr>
      </w:pPr>
      <w:r w:rsidRPr="0088203A">
        <w:rPr>
          <w:sz w:val="22"/>
          <w:szCs w:val="22"/>
        </w:rPr>
        <w:t xml:space="preserve">Šajeva, S. (2014). Encouraging Knowledge Sharing among Employees: How Reward Matters. </w:t>
      </w:r>
      <w:r w:rsidRPr="0088203A">
        <w:rPr>
          <w:i/>
          <w:iCs/>
          <w:sz w:val="22"/>
          <w:szCs w:val="22"/>
        </w:rPr>
        <w:t>Procedia - Social and Behavioral Sciences</w:t>
      </w:r>
      <w:r w:rsidRPr="0088203A">
        <w:rPr>
          <w:sz w:val="22"/>
          <w:szCs w:val="22"/>
        </w:rPr>
        <w:t xml:space="preserve">, </w:t>
      </w:r>
      <w:r w:rsidRPr="0088203A">
        <w:rPr>
          <w:i/>
          <w:iCs/>
          <w:sz w:val="22"/>
          <w:szCs w:val="22"/>
        </w:rPr>
        <w:t>156</w:t>
      </w:r>
      <w:r w:rsidRPr="0088203A">
        <w:rPr>
          <w:sz w:val="22"/>
          <w:szCs w:val="22"/>
        </w:rPr>
        <w:t xml:space="preserve">(April), 130–134. </w:t>
      </w:r>
      <w:hyperlink r:id="rId27" w:history="1">
        <w:r w:rsidRPr="0088203A">
          <w:rPr>
            <w:rStyle w:val="Hyperlink"/>
            <w:sz w:val="22"/>
            <w:szCs w:val="22"/>
          </w:rPr>
          <w:t>https://doi.org/10.1016/j.sbspro.2014.11.134</w:t>
        </w:r>
      </w:hyperlink>
    </w:p>
    <w:p w14:paraId="2020739F" w14:textId="54CDD4B2" w:rsidR="00AB293F" w:rsidRPr="0088203A" w:rsidRDefault="00AB293F" w:rsidP="00306663">
      <w:pPr>
        <w:pStyle w:val="p1"/>
        <w:ind w:left="360" w:hanging="360"/>
        <w:jc w:val="both"/>
        <w:rPr>
          <w:sz w:val="22"/>
          <w:szCs w:val="22"/>
        </w:rPr>
      </w:pPr>
      <w:r w:rsidRPr="0088203A">
        <w:rPr>
          <w:sz w:val="22"/>
          <w:szCs w:val="22"/>
        </w:rPr>
        <w:t xml:space="preserve">Wang, S., Noe, R. A., &amp; Wang, Z. M. (2014). Motivating Knowledge Sharing in Knowledge Management Systems: A Quasi-Field Experiment. </w:t>
      </w:r>
      <w:r w:rsidRPr="0088203A">
        <w:rPr>
          <w:i/>
          <w:iCs/>
          <w:sz w:val="22"/>
          <w:szCs w:val="22"/>
        </w:rPr>
        <w:t>Journal of</w:t>
      </w:r>
      <w:r w:rsidRPr="0088203A">
        <w:rPr>
          <w:sz w:val="22"/>
          <w:szCs w:val="22"/>
        </w:rPr>
        <w:t xml:space="preserve"> </w:t>
      </w:r>
      <w:r w:rsidRPr="0088203A">
        <w:rPr>
          <w:i/>
          <w:iCs/>
          <w:sz w:val="22"/>
          <w:szCs w:val="22"/>
        </w:rPr>
        <w:t>Management</w:t>
      </w:r>
      <w:r w:rsidRPr="0088203A">
        <w:rPr>
          <w:sz w:val="22"/>
          <w:szCs w:val="22"/>
        </w:rPr>
        <w:t xml:space="preserve">, </w:t>
      </w:r>
      <w:r w:rsidRPr="0088203A">
        <w:rPr>
          <w:i/>
          <w:iCs/>
          <w:sz w:val="22"/>
          <w:szCs w:val="22"/>
        </w:rPr>
        <w:t>40</w:t>
      </w:r>
      <w:r w:rsidRPr="0088203A">
        <w:rPr>
          <w:sz w:val="22"/>
          <w:szCs w:val="22"/>
        </w:rPr>
        <w:t xml:space="preserve">(4), 978–1009. </w:t>
      </w:r>
      <w:hyperlink r:id="rId28" w:history="1">
        <w:r w:rsidRPr="0088203A">
          <w:rPr>
            <w:rStyle w:val="Hyperlink"/>
            <w:sz w:val="22"/>
            <w:szCs w:val="22"/>
          </w:rPr>
          <w:t>https://doi.org/10.1177/0149206311412192</w:t>
        </w:r>
      </w:hyperlink>
    </w:p>
    <w:p w14:paraId="2D3CC58D" w14:textId="6177232C" w:rsidR="00AB293F" w:rsidRPr="0088203A" w:rsidRDefault="00AB293F" w:rsidP="00306663">
      <w:pPr>
        <w:pStyle w:val="p1"/>
        <w:ind w:left="360" w:hanging="360"/>
        <w:jc w:val="both"/>
        <w:rPr>
          <w:sz w:val="22"/>
          <w:szCs w:val="22"/>
        </w:rPr>
      </w:pPr>
      <w:r w:rsidRPr="0088203A">
        <w:rPr>
          <w:sz w:val="22"/>
          <w:szCs w:val="22"/>
        </w:rPr>
        <w:t xml:space="preserve">Wolfe, C., &amp; Lorass, T. (2008). Knowledge Sharing : The Effects of Incentive, Environment, and Person. </w:t>
      </w:r>
      <w:r w:rsidRPr="0088203A">
        <w:rPr>
          <w:i/>
          <w:iCs/>
          <w:sz w:val="22"/>
          <w:szCs w:val="22"/>
        </w:rPr>
        <w:lastRenderedPageBreak/>
        <w:t>Journal of Information Systems</w:t>
      </w:r>
      <w:r w:rsidRPr="0088203A">
        <w:rPr>
          <w:sz w:val="22"/>
          <w:szCs w:val="22"/>
        </w:rPr>
        <w:t xml:space="preserve">, </w:t>
      </w:r>
      <w:r w:rsidRPr="0088203A">
        <w:rPr>
          <w:i/>
          <w:iCs/>
          <w:sz w:val="22"/>
          <w:szCs w:val="22"/>
        </w:rPr>
        <w:t>22</w:t>
      </w:r>
      <w:r w:rsidRPr="0088203A">
        <w:rPr>
          <w:sz w:val="22"/>
          <w:szCs w:val="22"/>
        </w:rPr>
        <w:t>(2), 53–76.</w:t>
      </w:r>
    </w:p>
    <w:p w14:paraId="7E25314E" w14:textId="1B5F254C" w:rsidR="00AB293F" w:rsidRPr="0088203A" w:rsidRDefault="00AB293F" w:rsidP="00306663">
      <w:pPr>
        <w:pStyle w:val="p1"/>
        <w:ind w:left="360" w:hanging="360"/>
        <w:jc w:val="both"/>
        <w:rPr>
          <w:sz w:val="22"/>
          <w:szCs w:val="22"/>
        </w:rPr>
      </w:pPr>
      <w:r w:rsidRPr="0088203A">
        <w:rPr>
          <w:sz w:val="22"/>
          <w:szCs w:val="22"/>
        </w:rPr>
        <w:t xml:space="preserve">Xia, Q., Yan, S., Zhang, Y., &amp; Chen, B. (2019). The curvilinear relationship between knowledge leadership and knowledge hiding: The moderating role of psychological ownership. </w:t>
      </w:r>
      <w:r w:rsidRPr="0088203A">
        <w:rPr>
          <w:i/>
          <w:iCs/>
          <w:sz w:val="22"/>
          <w:szCs w:val="22"/>
        </w:rPr>
        <w:t>Leadership and Organization Development Journal</w:t>
      </w:r>
      <w:r w:rsidRPr="0088203A">
        <w:rPr>
          <w:sz w:val="22"/>
          <w:szCs w:val="22"/>
        </w:rPr>
        <w:t xml:space="preserve">, </w:t>
      </w:r>
      <w:r w:rsidRPr="0088203A">
        <w:rPr>
          <w:i/>
          <w:iCs/>
          <w:sz w:val="22"/>
          <w:szCs w:val="22"/>
        </w:rPr>
        <w:t>40</w:t>
      </w:r>
      <w:r w:rsidRPr="0088203A">
        <w:rPr>
          <w:sz w:val="22"/>
          <w:szCs w:val="22"/>
        </w:rPr>
        <w:t>(6), 669–</w:t>
      </w:r>
      <w:r w:rsidRPr="0088203A">
        <w:rPr>
          <w:sz w:val="22"/>
          <w:szCs w:val="22"/>
        </w:rPr>
        <w:t xml:space="preserve">683. </w:t>
      </w:r>
      <w:hyperlink r:id="rId29" w:history="1">
        <w:r w:rsidRPr="0088203A">
          <w:rPr>
            <w:rStyle w:val="Hyperlink"/>
            <w:sz w:val="22"/>
            <w:szCs w:val="22"/>
          </w:rPr>
          <w:t>https://doi.org/10.1108/LODJ-10-2018-0362</w:t>
        </w:r>
      </w:hyperlink>
    </w:p>
    <w:p w14:paraId="748062DA" w14:textId="2C0A02CE" w:rsidR="00306663" w:rsidRPr="0088203A" w:rsidRDefault="00AB293F" w:rsidP="00306663">
      <w:pPr>
        <w:pStyle w:val="p1"/>
        <w:ind w:left="360" w:hanging="360"/>
        <w:jc w:val="both"/>
        <w:rPr>
          <w:sz w:val="22"/>
          <w:szCs w:val="22"/>
        </w:rPr>
      </w:pPr>
      <w:r w:rsidRPr="0088203A">
        <w:rPr>
          <w:sz w:val="22"/>
          <w:szCs w:val="22"/>
        </w:rPr>
        <w:t xml:space="preserve">Zhang, Zhen, &amp; Min, M. (2021). Organizational rewards and knowledge hiding: task attributes as contingencies. </w:t>
      </w:r>
      <w:r w:rsidRPr="0088203A">
        <w:rPr>
          <w:i/>
          <w:iCs/>
          <w:sz w:val="22"/>
          <w:szCs w:val="22"/>
        </w:rPr>
        <w:t>Management Decision</w:t>
      </w:r>
      <w:r w:rsidRPr="0088203A">
        <w:rPr>
          <w:sz w:val="22"/>
          <w:szCs w:val="22"/>
        </w:rPr>
        <w:t xml:space="preserve">, </w:t>
      </w:r>
      <w:r w:rsidRPr="0088203A">
        <w:rPr>
          <w:i/>
          <w:iCs/>
          <w:sz w:val="22"/>
          <w:szCs w:val="22"/>
        </w:rPr>
        <w:t>71902107</w:t>
      </w:r>
      <w:r w:rsidRPr="0088203A">
        <w:rPr>
          <w:sz w:val="22"/>
          <w:szCs w:val="22"/>
        </w:rPr>
        <w:t xml:space="preserve">. </w:t>
      </w:r>
      <w:hyperlink r:id="rId30" w:history="1">
        <w:r w:rsidR="00306663" w:rsidRPr="0088203A">
          <w:rPr>
            <w:rStyle w:val="Hyperlink"/>
            <w:sz w:val="22"/>
            <w:szCs w:val="22"/>
          </w:rPr>
          <w:t>https://doi.org/10.1108/MD-02-2020-015</w:t>
        </w:r>
      </w:hyperlink>
    </w:p>
    <w:p w14:paraId="188914E7" w14:textId="16E5876B" w:rsidR="00B84A57" w:rsidRPr="0088203A" w:rsidRDefault="00B84A57" w:rsidP="00306663">
      <w:pPr>
        <w:pStyle w:val="p1"/>
        <w:ind w:left="360" w:hanging="360"/>
        <w:jc w:val="both"/>
        <w:rPr>
          <w:sz w:val="22"/>
          <w:szCs w:val="22"/>
        </w:rPr>
        <w:sectPr w:rsidR="00B84A57" w:rsidRPr="0088203A" w:rsidSect="00812D0C">
          <w:type w:val="continuous"/>
          <w:pgSz w:w="11907" w:h="16840" w:code="9"/>
          <w:pgMar w:top="2268" w:right="1701" w:bottom="1701" w:left="2268" w:header="454" w:footer="567" w:gutter="0"/>
          <w:pgNumType w:start="180"/>
          <w:cols w:num="2" w:space="709"/>
          <w:docGrid w:linePitch="326"/>
        </w:sectPr>
      </w:pPr>
    </w:p>
    <w:p w14:paraId="22CA5C80" w14:textId="77777777" w:rsidR="00AB293F" w:rsidRPr="0088203A" w:rsidRDefault="00AB293F" w:rsidP="00387AD6">
      <w:pPr>
        <w:widowControl w:val="0"/>
        <w:adjustRightInd w:val="0"/>
        <w:spacing w:before="0"/>
        <w:ind w:firstLine="0"/>
        <w:rPr>
          <w:sz w:val="22"/>
          <w:szCs w:val="22"/>
        </w:rPr>
      </w:pPr>
    </w:p>
    <w:sectPr w:rsidR="00AB293F" w:rsidRPr="0088203A" w:rsidSect="0088203A">
      <w:type w:val="continuous"/>
      <w:pgSz w:w="11907" w:h="16840" w:code="9"/>
      <w:pgMar w:top="2268" w:right="1701" w:bottom="1701" w:left="2268" w:header="454" w:footer="567" w:gutter="0"/>
      <w:pgNumType w:start="27"/>
      <w:cols w:num="2"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78CBF" w14:textId="77777777" w:rsidR="00B35BAA" w:rsidRDefault="00B35BAA">
      <w:r>
        <w:separator/>
      </w:r>
    </w:p>
  </w:endnote>
  <w:endnote w:type="continuationSeparator" w:id="0">
    <w:p w14:paraId="55F6F3D6" w14:textId="77777777" w:rsidR="00B35BAA" w:rsidRDefault="00B35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265172"/>
      <w:docPartObj>
        <w:docPartGallery w:val="Page Numbers (Bottom of Page)"/>
        <w:docPartUnique/>
      </w:docPartObj>
    </w:sdtPr>
    <w:sdtEndPr>
      <w:rPr>
        <w:noProof/>
      </w:rPr>
    </w:sdtEndPr>
    <w:sdtContent>
      <w:p w14:paraId="4FE9780F" w14:textId="0B6C2655" w:rsidR="00AA5DB0" w:rsidRDefault="00AA5D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385F48" w14:textId="5373A1B7" w:rsidR="00AA5DB0" w:rsidRPr="006A16DD" w:rsidRDefault="00AA5DB0" w:rsidP="00AA5DB0">
    <w:pPr>
      <w:pStyle w:val="Footer"/>
      <w:rPr>
        <w:sz w:val="24"/>
        <w:szCs w:val="24"/>
      </w:rPr>
    </w:pPr>
    <w:r w:rsidRPr="006A16DD">
      <w:rPr>
        <w:sz w:val="24"/>
        <w:szCs w:val="24"/>
      </w:rPr>
      <w:t xml:space="preserve">*Corresponding author's e-mail: </w:t>
    </w:r>
    <w:r w:rsidRPr="00AA5DB0">
      <w:rPr>
        <w:sz w:val="24"/>
        <w:szCs w:val="24"/>
      </w:rPr>
      <w:t>iecahyani@universitasbumigora.ac.id</w:t>
    </w:r>
  </w:p>
  <w:p w14:paraId="2197C557" w14:textId="46548FF9" w:rsidR="00AA5DB0" w:rsidRPr="00AA5DB0" w:rsidRDefault="00AA5DB0" w:rsidP="00AA5DB0">
    <w:pPr>
      <w:pStyle w:val="Footer"/>
      <w:rPr>
        <w:sz w:val="24"/>
        <w:szCs w:val="24"/>
      </w:rPr>
    </w:pPr>
    <w:hyperlink r:id="rId1" w:history="1">
      <w:r w:rsidRPr="006A16DD">
        <w:rPr>
          <w:rStyle w:val="Hyperlink"/>
          <w:sz w:val="24"/>
          <w:szCs w:val="24"/>
        </w:rPr>
        <w:t>http://openjournal.unpam.ac.id/index.php/EAJ</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507659"/>
      <w:docPartObj>
        <w:docPartGallery w:val="Page Numbers (Bottom of Page)"/>
        <w:docPartUnique/>
      </w:docPartObj>
    </w:sdtPr>
    <w:sdtEndPr>
      <w:rPr>
        <w:noProof/>
      </w:rPr>
    </w:sdtEndPr>
    <w:sdtContent>
      <w:p w14:paraId="1B88CD04" w14:textId="32A81760" w:rsidR="00AA5DB0" w:rsidRDefault="00AA5D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DCD11F" w14:textId="3055CDD5" w:rsidR="00AA5DB0" w:rsidRPr="006A16DD" w:rsidRDefault="00AA5DB0" w:rsidP="00AA5DB0">
    <w:pPr>
      <w:pStyle w:val="Footer"/>
      <w:rPr>
        <w:sz w:val="24"/>
        <w:szCs w:val="24"/>
      </w:rPr>
    </w:pPr>
    <w:r w:rsidRPr="006A16DD">
      <w:rPr>
        <w:sz w:val="24"/>
        <w:szCs w:val="24"/>
      </w:rPr>
      <w:t xml:space="preserve">*Corresponding author's e-mail: </w:t>
    </w:r>
    <w:r w:rsidR="003049D7" w:rsidRPr="003049D7">
      <w:rPr>
        <w:sz w:val="24"/>
        <w:szCs w:val="24"/>
      </w:rPr>
      <w:t>muliani@universitasbumigora.ac.id</w:t>
    </w:r>
  </w:p>
  <w:p w14:paraId="2CBEF10D" w14:textId="64420771" w:rsidR="00AA5DB0" w:rsidRPr="00AA5DB0" w:rsidRDefault="00AA5DB0" w:rsidP="00AA5DB0">
    <w:pPr>
      <w:pStyle w:val="Footer"/>
      <w:rPr>
        <w:sz w:val="24"/>
        <w:szCs w:val="24"/>
      </w:rPr>
    </w:pPr>
    <w:hyperlink r:id="rId1" w:history="1">
      <w:r w:rsidRPr="006A16DD">
        <w:rPr>
          <w:rStyle w:val="Hyperlink"/>
          <w:sz w:val="24"/>
          <w:szCs w:val="24"/>
        </w:rPr>
        <w:t>http://openjournal.unpam.ac.id/index.php/EAJ</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AB23" w14:textId="77777777" w:rsidR="00B35BAA" w:rsidRDefault="00B35BAA">
      <w:r>
        <w:separator/>
      </w:r>
    </w:p>
  </w:footnote>
  <w:footnote w:type="continuationSeparator" w:id="0">
    <w:p w14:paraId="77EE22CC" w14:textId="77777777" w:rsidR="00B35BAA" w:rsidRDefault="00B35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11D46" w14:textId="77777777" w:rsidR="00232D95" w:rsidRDefault="00232D95" w:rsidP="00232D95">
    <w:pPr>
      <w:pStyle w:val="Header"/>
      <w:ind w:firstLine="0"/>
      <w:rPr>
        <w:sz w:val="24"/>
        <w:szCs w:val="24"/>
      </w:rPr>
    </w:pPr>
  </w:p>
  <w:p w14:paraId="7F76248A" w14:textId="7264BA04" w:rsidR="00232D95" w:rsidRPr="004807DF" w:rsidRDefault="00232D95" w:rsidP="00232D95">
    <w:pPr>
      <w:pStyle w:val="Header"/>
      <w:ind w:firstLine="0"/>
      <w:rPr>
        <w:sz w:val="24"/>
        <w:szCs w:val="24"/>
      </w:rPr>
    </w:pPr>
    <w:r w:rsidRPr="006A16DD">
      <w:rPr>
        <w:sz w:val="24"/>
        <w:szCs w:val="24"/>
      </w:rPr>
      <w:t xml:space="preserve">EAJ (Economic and Accounting Journal)– Vol. 9, No. </w:t>
    </w:r>
    <w:r>
      <w:rPr>
        <w:sz w:val="24"/>
        <w:szCs w:val="24"/>
      </w:rPr>
      <w:t>2</w:t>
    </w:r>
    <w:r w:rsidRPr="006A16DD">
      <w:rPr>
        <w:sz w:val="24"/>
        <w:szCs w:val="24"/>
      </w:rPr>
      <w:t xml:space="preserve">, </w:t>
    </w:r>
    <w:r>
      <w:rPr>
        <w:sz w:val="24"/>
        <w:szCs w:val="24"/>
      </w:rPr>
      <w:t>May</w:t>
    </w:r>
    <w:r w:rsidRPr="006A16DD">
      <w:rPr>
        <w:sz w:val="24"/>
        <w:szCs w:val="24"/>
      </w:rPr>
      <w:t xml:space="preserve"> 202</w:t>
    </w:r>
    <w:r>
      <w:rPr>
        <w:sz w:val="24"/>
        <w:szCs w:val="24"/>
      </w:rPr>
      <w:t>6</w:t>
    </w:r>
    <w:r w:rsidRPr="006A16DD">
      <w:rPr>
        <w:sz w:val="24"/>
        <w:szCs w:val="24"/>
      </w:rPr>
      <w:t>–</w:t>
    </w:r>
    <w:r>
      <w:rPr>
        <w:sz w:val="24"/>
        <w:szCs w:val="24"/>
      </w:rPr>
      <w:t xml:space="preserve"> Cahyani et al.</w:t>
    </w:r>
  </w:p>
  <w:p w14:paraId="524375B9" w14:textId="77777777" w:rsidR="00AA5DB0" w:rsidRPr="00232D95" w:rsidRDefault="00AA5DB0" w:rsidP="00232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6747" w14:textId="3C220066" w:rsidR="006713FC" w:rsidRPr="009869E6" w:rsidRDefault="00232D95" w:rsidP="00232D95">
    <w:pPr>
      <w:pStyle w:val="Header"/>
    </w:pPr>
    <w:r>
      <w:rPr>
        <w:noProof/>
      </w:rPr>
      <w:drawing>
        <wp:anchor distT="0" distB="0" distL="0" distR="0" simplePos="0" relativeHeight="251659264" behindDoc="1" locked="0" layoutInCell="1" allowOverlap="1" wp14:anchorId="0EE71C57" wp14:editId="5336F020">
          <wp:simplePos x="0" y="0"/>
          <wp:positionH relativeFrom="page">
            <wp:posOffset>5788660</wp:posOffset>
          </wp:positionH>
          <wp:positionV relativeFrom="page">
            <wp:posOffset>328295</wp:posOffset>
          </wp:positionV>
          <wp:extent cx="781050" cy="781050"/>
          <wp:effectExtent l="0" t="0" r="0" b="0"/>
          <wp:wrapNone/>
          <wp:docPr id="19309077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7DA6D024" wp14:editId="038BF117">
              <wp:simplePos x="0" y="0"/>
              <wp:positionH relativeFrom="page">
                <wp:posOffset>1440180</wp:posOffset>
              </wp:positionH>
              <wp:positionV relativeFrom="page">
                <wp:posOffset>287655</wp:posOffset>
              </wp:positionV>
              <wp:extent cx="3404235" cy="857250"/>
              <wp:effectExtent l="0" t="0" r="5715" b="0"/>
              <wp:wrapNone/>
              <wp:docPr id="1740628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857250"/>
                      </a:xfrm>
                      <a:prstGeom prst="rect">
                        <a:avLst/>
                      </a:prstGeom>
                      <a:noFill/>
                      <a:ln>
                        <a:noFill/>
                      </a:ln>
                    </wps:spPr>
                    <wps:txbx>
                      <w:txbxContent>
                        <w:p w14:paraId="04B32F0A" w14:textId="77777777" w:rsidR="00232D95" w:rsidRPr="006A16DD" w:rsidRDefault="00232D95" w:rsidP="00232D95">
                          <w:pPr>
                            <w:ind w:left="20" w:right="17" w:hanging="20"/>
                            <w:rPr>
                              <w:szCs w:val="24"/>
                            </w:rPr>
                          </w:pPr>
                          <w:r w:rsidRPr="006A16DD">
                            <w:rPr>
                              <w:szCs w:val="24"/>
                            </w:rPr>
                            <w:t>EAJ</w:t>
                          </w:r>
                          <w:r w:rsidRPr="006A16DD">
                            <w:rPr>
                              <w:spacing w:val="-5"/>
                              <w:szCs w:val="24"/>
                            </w:rPr>
                            <w:t xml:space="preserve"> </w:t>
                          </w:r>
                          <w:r w:rsidRPr="006A16DD">
                            <w:rPr>
                              <w:szCs w:val="24"/>
                            </w:rPr>
                            <w:t>(Economic</w:t>
                          </w:r>
                          <w:r w:rsidRPr="006A16DD">
                            <w:rPr>
                              <w:spacing w:val="-7"/>
                              <w:szCs w:val="24"/>
                            </w:rPr>
                            <w:t xml:space="preserve"> </w:t>
                          </w:r>
                          <w:r w:rsidRPr="006A16DD">
                            <w:rPr>
                              <w:szCs w:val="24"/>
                            </w:rPr>
                            <w:t>and</w:t>
                          </w:r>
                          <w:r w:rsidRPr="006A16DD">
                            <w:rPr>
                              <w:spacing w:val="-4"/>
                              <w:szCs w:val="24"/>
                            </w:rPr>
                            <w:t xml:space="preserve"> </w:t>
                          </w:r>
                          <w:r w:rsidRPr="006A16DD">
                            <w:rPr>
                              <w:szCs w:val="24"/>
                            </w:rPr>
                            <w:t>Accounting</w:t>
                          </w:r>
                          <w:r w:rsidRPr="006A16DD">
                            <w:rPr>
                              <w:spacing w:val="-5"/>
                              <w:szCs w:val="24"/>
                            </w:rPr>
                            <w:t xml:space="preserve"> </w:t>
                          </w:r>
                          <w:r w:rsidRPr="006A16DD">
                            <w:rPr>
                              <w:szCs w:val="24"/>
                            </w:rPr>
                            <w:t>Journal)</w:t>
                          </w:r>
                        </w:p>
                        <w:p w14:paraId="69203DF0" w14:textId="77777777" w:rsidR="00232D95" w:rsidRPr="006A16DD" w:rsidRDefault="00232D95" w:rsidP="00232D95">
                          <w:pPr>
                            <w:ind w:left="20" w:right="17" w:hanging="20"/>
                            <w:rPr>
                              <w:szCs w:val="24"/>
                            </w:rPr>
                          </w:pPr>
                          <w:r w:rsidRPr="006A16DD">
                            <w:rPr>
                              <w:spacing w:val="-57"/>
                              <w:szCs w:val="24"/>
                            </w:rPr>
                            <w:t xml:space="preserve"> </w:t>
                          </w:r>
                          <w:r w:rsidRPr="006A16DD">
                            <w:rPr>
                              <w:szCs w:val="24"/>
                            </w:rPr>
                            <w:t>Vol.</w:t>
                          </w:r>
                          <w:r w:rsidRPr="006A16DD">
                            <w:rPr>
                              <w:spacing w:val="-1"/>
                              <w:szCs w:val="24"/>
                            </w:rPr>
                            <w:t xml:space="preserve"> </w:t>
                          </w:r>
                          <w:r w:rsidRPr="006A16DD">
                            <w:rPr>
                              <w:szCs w:val="24"/>
                            </w:rPr>
                            <w:t xml:space="preserve">9, No. </w:t>
                          </w:r>
                          <w:r>
                            <w:rPr>
                              <w:szCs w:val="24"/>
                            </w:rPr>
                            <w:t>2, May</w:t>
                          </w:r>
                          <w:r w:rsidRPr="006A16DD">
                            <w:rPr>
                              <w:szCs w:val="24"/>
                            </w:rPr>
                            <w:t xml:space="preserve"> 202</w:t>
                          </w:r>
                          <w:r>
                            <w:rPr>
                              <w:szCs w:val="24"/>
                            </w:rPr>
                            <w:t>6</w:t>
                          </w:r>
                        </w:p>
                        <w:p w14:paraId="14F51FF1" w14:textId="77777777" w:rsidR="00232D95" w:rsidRPr="006A16DD" w:rsidRDefault="00232D95" w:rsidP="00232D95">
                          <w:pPr>
                            <w:ind w:left="20" w:right="17" w:hanging="20"/>
                            <w:rPr>
                              <w:szCs w:val="24"/>
                            </w:rPr>
                          </w:pPr>
                          <w:r w:rsidRPr="006A16DD">
                            <w:rPr>
                              <w:szCs w:val="24"/>
                            </w:rPr>
                            <w:t>ISSN 2615-7888</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6D024" id="_x0000_t202" coordsize="21600,21600" o:spt="202" path="m,l,21600r21600,l21600,xe">
              <v:stroke joinstyle="miter"/>
              <v:path gradientshapeok="t" o:connecttype="rect"/>
            </v:shapetype>
            <v:shape id="Text Box 4" o:spid="_x0000_s1026" type="#_x0000_t202" style="position:absolute;left:0;text-align:left;margin-left:113.4pt;margin-top:22.65pt;width:268.05pt;height:6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" filled="f" stroked="f">
              <v:textbox inset="0,0,0,0">
                <w:txbxContent>
                  <w:p w14:paraId="04B32F0A" w14:textId="77777777" w:rsidR="00232D95" w:rsidRPr="006A16DD" w:rsidRDefault="00232D95" w:rsidP="00232D95">
                    <w:pPr>
                      <w:ind w:left="20" w:right="17" w:hanging="20"/>
                      <w:rPr>
                        <w:szCs w:val="24"/>
                      </w:rPr>
                    </w:pPr>
                    <w:r w:rsidRPr="006A16DD">
                      <w:rPr>
                        <w:szCs w:val="24"/>
                      </w:rPr>
                      <w:t>EAJ</w:t>
                    </w:r>
                    <w:r w:rsidRPr="006A16DD">
                      <w:rPr>
                        <w:spacing w:val="-5"/>
                        <w:szCs w:val="24"/>
                      </w:rPr>
                      <w:t xml:space="preserve"> </w:t>
                    </w:r>
                    <w:r w:rsidRPr="006A16DD">
                      <w:rPr>
                        <w:szCs w:val="24"/>
                      </w:rPr>
                      <w:t>(Economic</w:t>
                    </w:r>
                    <w:r w:rsidRPr="006A16DD">
                      <w:rPr>
                        <w:spacing w:val="-7"/>
                        <w:szCs w:val="24"/>
                      </w:rPr>
                      <w:t xml:space="preserve"> </w:t>
                    </w:r>
                    <w:r w:rsidRPr="006A16DD">
                      <w:rPr>
                        <w:szCs w:val="24"/>
                      </w:rPr>
                      <w:t>and</w:t>
                    </w:r>
                    <w:r w:rsidRPr="006A16DD">
                      <w:rPr>
                        <w:spacing w:val="-4"/>
                        <w:szCs w:val="24"/>
                      </w:rPr>
                      <w:t xml:space="preserve"> </w:t>
                    </w:r>
                    <w:r w:rsidRPr="006A16DD">
                      <w:rPr>
                        <w:szCs w:val="24"/>
                      </w:rPr>
                      <w:t>Accounting</w:t>
                    </w:r>
                    <w:r w:rsidRPr="006A16DD">
                      <w:rPr>
                        <w:spacing w:val="-5"/>
                        <w:szCs w:val="24"/>
                      </w:rPr>
                      <w:t xml:space="preserve"> </w:t>
                    </w:r>
                    <w:r w:rsidRPr="006A16DD">
                      <w:rPr>
                        <w:szCs w:val="24"/>
                      </w:rPr>
                      <w:t>Journal)</w:t>
                    </w:r>
                  </w:p>
                  <w:p w14:paraId="69203DF0" w14:textId="77777777" w:rsidR="00232D95" w:rsidRPr="006A16DD" w:rsidRDefault="00232D95" w:rsidP="00232D95">
                    <w:pPr>
                      <w:ind w:left="20" w:right="17" w:hanging="20"/>
                      <w:rPr>
                        <w:szCs w:val="24"/>
                      </w:rPr>
                    </w:pPr>
                    <w:r w:rsidRPr="006A16DD">
                      <w:rPr>
                        <w:spacing w:val="-57"/>
                        <w:szCs w:val="24"/>
                      </w:rPr>
                      <w:t xml:space="preserve"> </w:t>
                    </w:r>
                    <w:r w:rsidRPr="006A16DD">
                      <w:rPr>
                        <w:szCs w:val="24"/>
                      </w:rPr>
                      <w:t>Vol.</w:t>
                    </w:r>
                    <w:r w:rsidRPr="006A16DD">
                      <w:rPr>
                        <w:spacing w:val="-1"/>
                        <w:szCs w:val="24"/>
                      </w:rPr>
                      <w:t xml:space="preserve"> </w:t>
                    </w:r>
                    <w:r w:rsidRPr="006A16DD">
                      <w:rPr>
                        <w:szCs w:val="24"/>
                      </w:rPr>
                      <w:t xml:space="preserve">9, No. </w:t>
                    </w:r>
                    <w:r>
                      <w:rPr>
                        <w:szCs w:val="24"/>
                      </w:rPr>
                      <w:t>2, May</w:t>
                    </w:r>
                    <w:r w:rsidRPr="006A16DD">
                      <w:rPr>
                        <w:szCs w:val="24"/>
                      </w:rPr>
                      <w:t xml:space="preserve"> 202</w:t>
                    </w:r>
                    <w:r>
                      <w:rPr>
                        <w:szCs w:val="24"/>
                      </w:rPr>
                      <w:t>6</w:t>
                    </w:r>
                  </w:p>
                  <w:p w14:paraId="14F51FF1" w14:textId="77777777" w:rsidR="00232D95" w:rsidRPr="006A16DD" w:rsidRDefault="00232D95" w:rsidP="00232D95">
                    <w:pPr>
                      <w:ind w:left="20" w:right="17" w:hanging="20"/>
                      <w:rPr>
                        <w:szCs w:val="24"/>
                      </w:rPr>
                    </w:pPr>
                    <w:r w:rsidRPr="006A16DD">
                      <w:rPr>
                        <w:szCs w:val="24"/>
                      </w:rPr>
                      <w:t>ISSN 2615-7888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E002" w14:textId="77777777" w:rsidR="001A668E" w:rsidRPr="005E4FAB" w:rsidRDefault="001A668E" w:rsidP="00717760">
    <w:pPr>
      <w:pStyle w:val="Header"/>
      <w:widowControl w:val="0"/>
      <w:spacing w:before="0"/>
      <w:ind w:firstLine="0"/>
      <w:jc w:val="left"/>
      <w:rPr>
        <w:caps/>
        <w:sz w:val="20"/>
        <w:lang w:val="en-GB"/>
      </w:rPr>
    </w:pPr>
    <w:r w:rsidRPr="005E4FAB">
      <w:rPr>
        <w:sz w:val="20"/>
        <w:lang w:val="en-GB"/>
      </w:rPr>
      <w:t>15</w:t>
    </w:r>
    <w:r w:rsidRPr="005E4FAB">
      <w:rPr>
        <w:sz w:val="20"/>
        <w:vertAlign w:val="superscript"/>
        <w:lang w:val="en-GB"/>
      </w:rPr>
      <w:t xml:space="preserve">th </w:t>
    </w:r>
    <w:r>
      <w:rPr>
        <w:sz w:val="20"/>
        <w:lang w:val="en-GB"/>
      </w:rPr>
      <w:t>International Scientific C</w:t>
    </w:r>
    <w:r w:rsidRPr="005E4FAB">
      <w:rPr>
        <w:sz w:val="20"/>
        <w:lang w:val="en-GB"/>
      </w:rPr>
      <w:t xml:space="preserve">onference </w:t>
    </w:r>
    <w:r>
      <w:rPr>
        <w:sz w:val="20"/>
        <w:lang w:val="en-GB"/>
      </w:rPr>
      <w:t>Globalization and Its Socio-Economic C</w:t>
    </w:r>
    <w:r w:rsidRPr="005E4FAB">
      <w:rPr>
        <w:sz w:val="20"/>
        <w:lang w:val="en-GB"/>
      </w:rPr>
      <w:t>onsequences</w:t>
    </w:r>
  </w:p>
  <w:p w14:paraId="196B75A2" w14:textId="77777777" w:rsidR="001A668E" w:rsidRPr="005E4FAB" w:rsidRDefault="001A668E" w:rsidP="00717760">
    <w:pPr>
      <w:pStyle w:val="Header"/>
      <w:pBdr>
        <w:bottom w:val="single" w:sz="4" w:space="1" w:color="auto"/>
      </w:pBdr>
      <w:spacing w:before="0"/>
      <w:ind w:firstLine="0"/>
      <w:jc w:val="left"/>
      <w:rPr>
        <w:sz w:val="20"/>
        <w:szCs w:val="20"/>
        <w:lang w:val="en-GB"/>
      </w:rPr>
    </w:pPr>
    <w:r w:rsidRPr="005E4FAB">
      <w:rPr>
        <w:sz w:val="20"/>
        <w:szCs w:val="20"/>
        <w:lang w:val="en-GB"/>
      </w:rPr>
      <w:t xml:space="preserve">University of Zilina, The Faculty of Operation and Economics of Transport and Communication, Department of </w:t>
    </w:r>
    <w:r>
      <w:rPr>
        <w:sz w:val="20"/>
        <w:szCs w:val="20"/>
        <w:lang w:val="en-GB"/>
      </w:rPr>
      <w:t>Economics</w:t>
    </w:r>
    <w:r w:rsidRPr="005E4FAB">
      <w:rPr>
        <w:sz w:val="20"/>
        <w:szCs w:val="20"/>
        <w:lang w:val="en-GB"/>
      </w:rPr>
      <w:t xml:space="preserve"> </w:t>
    </w:r>
    <w:r>
      <w:rPr>
        <w:sz w:val="20"/>
        <w:szCs w:val="20"/>
        <w:lang w:val="en-GB"/>
      </w:rPr>
      <w:tab/>
    </w:r>
    <w:r>
      <w:rPr>
        <w:sz w:val="20"/>
        <w:szCs w:val="20"/>
        <w:lang w:val="en-GB"/>
      </w:rPr>
      <w:tab/>
    </w:r>
    <w:r w:rsidRPr="005E4FAB">
      <w:rPr>
        <w:sz w:val="20"/>
        <w:szCs w:val="20"/>
        <w:lang w:val="en-GB"/>
      </w:rPr>
      <w:t>7</w:t>
    </w:r>
    <w:r w:rsidRPr="005E4FAB">
      <w:rPr>
        <w:sz w:val="20"/>
        <w:szCs w:val="20"/>
        <w:vertAlign w:val="superscript"/>
        <w:lang w:val="en-GB"/>
      </w:rPr>
      <w:t>th</w:t>
    </w:r>
    <w:r w:rsidRPr="005E4FAB">
      <w:rPr>
        <w:sz w:val="20"/>
        <w:szCs w:val="20"/>
        <w:lang w:val="en-GB"/>
      </w:rPr>
      <w:t xml:space="preserve"> – 8</w:t>
    </w:r>
    <w:r w:rsidRPr="005E4FAB">
      <w:rPr>
        <w:sz w:val="20"/>
        <w:szCs w:val="20"/>
        <w:vertAlign w:val="superscript"/>
        <w:lang w:val="en-GB"/>
      </w:rPr>
      <w:t>th</w:t>
    </w:r>
    <w:r w:rsidRPr="005E4FAB">
      <w:rPr>
        <w:sz w:val="20"/>
        <w:szCs w:val="20"/>
        <w:lang w:val="en-GB"/>
      </w:rPr>
      <w:t xml:space="preserve"> October 2015</w:t>
    </w:r>
  </w:p>
  <w:p w14:paraId="4A8C9793" w14:textId="77777777" w:rsidR="001A668E" w:rsidRPr="00717760" w:rsidRDefault="001A668E" w:rsidP="00717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216ACEE"/>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41B3BAA"/>
    <w:multiLevelType w:val="multilevel"/>
    <w:tmpl w:val="041B3BAA"/>
    <w:lvl w:ilvl="0">
      <w:start w:val="1"/>
      <w:numFmt w:val="decimal"/>
      <w:lvlText w:val="[%1]"/>
      <w:lvlJc w:val="left"/>
      <w:pPr>
        <w:ind w:left="420" w:hanging="420"/>
      </w:pPr>
      <w:rPr>
        <w:rFonts w:ascii="Times New Roman" w:hint="default"/>
        <w:color w:val="000000"/>
        <w:u w:color="000000"/>
      </w:rPr>
    </w:lvl>
    <w:lvl w:ilvl="1">
      <w:start w:val="1"/>
      <w:numFmt w:val="lowerLetter"/>
      <w:lvlText w:val="%2)"/>
      <w:lvlJc w:val="left"/>
      <w:pPr>
        <w:ind w:left="840" w:hanging="420"/>
      </w:pPr>
      <w:rPr>
        <w:rFonts w:ascii="Times New Roman" w:hint="default"/>
      </w:rPr>
    </w:lvl>
    <w:lvl w:ilvl="2">
      <w:start w:val="1"/>
      <w:numFmt w:val="lowerRoman"/>
      <w:lvlText w:val="%3."/>
      <w:lvlJc w:val="right"/>
      <w:pPr>
        <w:ind w:left="1260" w:hanging="420"/>
      </w:pPr>
      <w:rPr>
        <w:rFonts w:ascii="Times New Roman" w:hint="default"/>
      </w:rPr>
    </w:lvl>
    <w:lvl w:ilvl="3">
      <w:start w:val="1"/>
      <w:numFmt w:val="decimal"/>
      <w:lvlText w:val="%4."/>
      <w:lvlJc w:val="left"/>
      <w:pPr>
        <w:ind w:left="1680" w:hanging="420"/>
      </w:pPr>
      <w:rPr>
        <w:rFonts w:ascii="Times New Roman" w:hint="default"/>
      </w:rPr>
    </w:lvl>
    <w:lvl w:ilvl="4">
      <w:start w:val="1"/>
      <w:numFmt w:val="lowerLetter"/>
      <w:lvlText w:val="%5)"/>
      <w:lvlJc w:val="left"/>
      <w:pPr>
        <w:ind w:left="2100" w:hanging="420"/>
      </w:pPr>
      <w:rPr>
        <w:rFonts w:ascii="Times New Roman" w:hint="default"/>
      </w:rPr>
    </w:lvl>
    <w:lvl w:ilvl="5">
      <w:start w:val="1"/>
      <w:numFmt w:val="lowerRoman"/>
      <w:lvlText w:val="%6."/>
      <w:lvlJc w:val="right"/>
      <w:pPr>
        <w:ind w:left="2520" w:hanging="420"/>
      </w:pPr>
      <w:rPr>
        <w:rFonts w:ascii="Times New Roman" w:hint="default"/>
      </w:rPr>
    </w:lvl>
    <w:lvl w:ilvl="6">
      <w:start w:val="1"/>
      <w:numFmt w:val="decimal"/>
      <w:lvlText w:val="%7."/>
      <w:lvlJc w:val="left"/>
      <w:pPr>
        <w:ind w:left="2940" w:hanging="420"/>
      </w:pPr>
      <w:rPr>
        <w:rFonts w:ascii="Times New Roman" w:hint="default"/>
      </w:rPr>
    </w:lvl>
    <w:lvl w:ilvl="7">
      <w:start w:val="1"/>
      <w:numFmt w:val="lowerLetter"/>
      <w:lvlText w:val="%8)"/>
      <w:lvlJc w:val="left"/>
      <w:pPr>
        <w:ind w:left="3360" w:hanging="420"/>
      </w:pPr>
      <w:rPr>
        <w:rFonts w:ascii="Times New Roman" w:hint="default"/>
      </w:rPr>
    </w:lvl>
    <w:lvl w:ilvl="8">
      <w:start w:val="1"/>
      <w:numFmt w:val="lowerRoman"/>
      <w:lvlText w:val="%9."/>
      <w:lvlJc w:val="right"/>
      <w:pPr>
        <w:ind w:left="3780" w:hanging="420"/>
      </w:pPr>
      <w:rPr>
        <w:rFonts w:ascii="Times New Roman" w:hint="default"/>
      </w:rPr>
    </w:lvl>
  </w:abstractNum>
  <w:abstractNum w:abstractNumId="2" w15:restartNumberingAfterBreak="0">
    <w:nsid w:val="050130D0"/>
    <w:multiLevelType w:val="hybridMultilevel"/>
    <w:tmpl w:val="7F7AEC58"/>
    <w:lvl w:ilvl="0" w:tplc="8926EFF2">
      <w:start w:val="1"/>
      <w:numFmt w:val="bullet"/>
      <w:pStyle w:val="List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5"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6"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0A5527"/>
    <w:multiLevelType w:val="hybridMultilevel"/>
    <w:tmpl w:val="F84AF124"/>
    <w:lvl w:ilvl="0" w:tplc="0B2022A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9" w15:restartNumberingAfterBreak="0">
    <w:nsid w:val="19DD58BC"/>
    <w:multiLevelType w:val="hybridMultilevel"/>
    <w:tmpl w:val="BD8E8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D430F2"/>
    <w:multiLevelType w:val="hybridMultilevel"/>
    <w:tmpl w:val="03FC3586"/>
    <w:lvl w:ilvl="0" w:tplc="DA463FF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1F02FEC"/>
    <w:multiLevelType w:val="hybridMultilevel"/>
    <w:tmpl w:val="511C251A"/>
    <w:lvl w:ilvl="0" w:tplc="374AA45E">
      <w:start w:val="1"/>
      <w:numFmt w:val="decimal"/>
      <w:pStyle w:val="ListNumb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493B70"/>
    <w:multiLevelType w:val="multilevel"/>
    <w:tmpl w:val="F948F248"/>
    <w:lvl w:ilvl="0">
      <w:start w:val="2"/>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355409BA"/>
    <w:multiLevelType w:val="hybridMultilevel"/>
    <w:tmpl w:val="54B297CA"/>
    <w:lvl w:ilvl="0" w:tplc="EE26C294">
      <w:start w:val="1"/>
      <w:numFmt w:val="decimal"/>
      <w:lvlText w:val="%1)"/>
      <w:lvlJc w:val="left"/>
      <w:pPr>
        <w:ind w:left="720" w:hanging="360"/>
      </w:pPr>
      <w:rPr>
        <w:rFonts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C3671"/>
    <w:multiLevelType w:val="multilevel"/>
    <w:tmpl w:val="8F005E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16" w15:restartNumberingAfterBreak="0">
    <w:nsid w:val="3DB04801"/>
    <w:multiLevelType w:val="multilevel"/>
    <w:tmpl w:val="3DB04801"/>
    <w:lvl w:ilvl="0">
      <w:start w:val="1"/>
      <w:numFmt w:val="decimal"/>
      <w:lvlText w:val="%1."/>
      <w:lvlJc w:val="left"/>
      <w:pPr>
        <w:ind w:left="360" w:hanging="360"/>
      </w:pPr>
      <w:rPr>
        <w:rFonts w:ascii="Times New Roman" w:hint="default"/>
      </w:rPr>
    </w:lvl>
    <w:lvl w:ilvl="1">
      <w:start w:val="1"/>
      <w:numFmt w:val="decimal"/>
      <w:isLgl/>
      <w:lvlText w:val="%1.%2"/>
      <w:lvlJc w:val="left"/>
      <w:pPr>
        <w:ind w:left="360" w:hanging="360"/>
      </w:pPr>
      <w:rPr>
        <w:rFonts w:ascii="Times New Roman" w:hint="default"/>
      </w:rPr>
    </w:lvl>
    <w:lvl w:ilvl="2">
      <w:start w:val="1"/>
      <w:numFmt w:val="decimal"/>
      <w:isLgl/>
      <w:lvlText w:val="%1.%2.%3"/>
      <w:lvlJc w:val="left"/>
      <w:pPr>
        <w:ind w:left="720" w:hanging="720"/>
      </w:pPr>
      <w:rPr>
        <w:rFonts w:ascii="Times New Roman" w:hint="default"/>
      </w:rPr>
    </w:lvl>
    <w:lvl w:ilvl="3">
      <w:start w:val="1"/>
      <w:numFmt w:val="decimal"/>
      <w:isLgl/>
      <w:lvlText w:val="%1.%2.%3.%4"/>
      <w:lvlJc w:val="left"/>
      <w:pPr>
        <w:ind w:left="720" w:hanging="720"/>
      </w:pPr>
      <w:rPr>
        <w:rFonts w:ascii="Times New Roman" w:hint="default"/>
      </w:rPr>
    </w:lvl>
    <w:lvl w:ilvl="4">
      <w:start w:val="1"/>
      <w:numFmt w:val="decimal"/>
      <w:isLgl/>
      <w:lvlText w:val="%1.%2.%3.%4.%5"/>
      <w:lvlJc w:val="left"/>
      <w:pPr>
        <w:ind w:left="1080" w:hanging="1080"/>
      </w:pPr>
      <w:rPr>
        <w:rFonts w:ascii="Times New Roman" w:hint="default"/>
      </w:rPr>
    </w:lvl>
    <w:lvl w:ilvl="5">
      <w:start w:val="1"/>
      <w:numFmt w:val="decimal"/>
      <w:isLgl/>
      <w:lvlText w:val="%1.%2.%3.%4.%5.%6"/>
      <w:lvlJc w:val="left"/>
      <w:pPr>
        <w:ind w:left="1080" w:hanging="1080"/>
      </w:pPr>
      <w:rPr>
        <w:rFonts w:ascii="Times New Roman" w:hint="default"/>
      </w:rPr>
    </w:lvl>
    <w:lvl w:ilvl="6">
      <w:start w:val="1"/>
      <w:numFmt w:val="decimal"/>
      <w:isLgl/>
      <w:lvlText w:val=""/>
      <w:lvlJc w:val="left"/>
      <w:pPr>
        <w:ind w:left="1440" w:hanging="1440"/>
      </w:pPr>
      <w:rPr>
        <w:rFonts w:ascii="Times New Roman" w:hint="default"/>
      </w:rPr>
    </w:lvl>
    <w:lvl w:ilvl="7">
      <w:start w:val="1"/>
      <w:numFmt w:val="decimal"/>
      <w:isLgl/>
      <w:lvlText w:val="%1.%2.%3.%4.%5.%6..%8"/>
      <w:lvlJc w:val="left"/>
      <w:pPr>
        <w:ind w:left="1440" w:hanging="1440"/>
      </w:pPr>
      <w:rPr>
        <w:rFonts w:ascii="Times New Roman" w:hint="default"/>
      </w:rPr>
    </w:lvl>
    <w:lvl w:ilvl="8">
      <w:start w:val="1"/>
      <w:numFmt w:val="decimal"/>
      <w:isLgl/>
      <w:lvlText w:val="%1.%2.%3.%4.%5.%6..%8.%9"/>
      <w:lvlJc w:val="left"/>
      <w:pPr>
        <w:ind w:left="1800" w:hanging="1800"/>
      </w:pPr>
      <w:rPr>
        <w:rFonts w:ascii="Times New Roman" w:hint="default"/>
      </w:rPr>
    </w:lvl>
  </w:abstractNum>
  <w:abstractNum w:abstractNumId="17" w15:restartNumberingAfterBreak="0">
    <w:nsid w:val="486E6494"/>
    <w:multiLevelType w:val="multilevel"/>
    <w:tmpl w:val="B95CA51A"/>
    <w:lvl w:ilvl="0">
      <w:start w:val="4"/>
      <w:numFmt w:val="decimal"/>
      <w:lvlText w:val="%1"/>
      <w:lvlJc w:val="left"/>
      <w:pPr>
        <w:ind w:left="835" w:hanging="368"/>
      </w:pPr>
      <w:rPr>
        <w:rFonts w:hint="default"/>
        <w:lang w:val="id" w:eastAsia="en-US" w:bidi="ar-SA"/>
      </w:rPr>
    </w:lvl>
    <w:lvl w:ilvl="1">
      <w:start w:val="1"/>
      <w:numFmt w:val="decimal"/>
      <w:lvlText w:val="%1.%2"/>
      <w:lvlJc w:val="left"/>
      <w:pPr>
        <w:ind w:left="835" w:hanging="368"/>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688" w:hanging="368"/>
      </w:pPr>
      <w:rPr>
        <w:rFonts w:hint="default"/>
        <w:lang w:val="id" w:eastAsia="en-US" w:bidi="ar-SA"/>
      </w:rPr>
    </w:lvl>
    <w:lvl w:ilvl="3">
      <w:numFmt w:val="bullet"/>
      <w:lvlText w:val="•"/>
      <w:lvlJc w:val="left"/>
      <w:pPr>
        <w:ind w:left="3612" w:hanging="368"/>
      </w:pPr>
      <w:rPr>
        <w:rFonts w:hint="default"/>
        <w:lang w:val="id" w:eastAsia="en-US" w:bidi="ar-SA"/>
      </w:rPr>
    </w:lvl>
    <w:lvl w:ilvl="4">
      <w:numFmt w:val="bullet"/>
      <w:lvlText w:val="•"/>
      <w:lvlJc w:val="left"/>
      <w:pPr>
        <w:ind w:left="4536" w:hanging="368"/>
      </w:pPr>
      <w:rPr>
        <w:rFonts w:hint="default"/>
        <w:lang w:val="id" w:eastAsia="en-US" w:bidi="ar-SA"/>
      </w:rPr>
    </w:lvl>
    <w:lvl w:ilvl="5">
      <w:numFmt w:val="bullet"/>
      <w:lvlText w:val="•"/>
      <w:lvlJc w:val="left"/>
      <w:pPr>
        <w:ind w:left="5460" w:hanging="368"/>
      </w:pPr>
      <w:rPr>
        <w:rFonts w:hint="default"/>
        <w:lang w:val="id" w:eastAsia="en-US" w:bidi="ar-SA"/>
      </w:rPr>
    </w:lvl>
    <w:lvl w:ilvl="6">
      <w:numFmt w:val="bullet"/>
      <w:lvlText w:val="•"/>
      <w:lvlJc w:val="left"/>
      <w:pPr>
        <w:ind w:left="6384" w:hanging="368"/>
      </w:pPr>
      <w:rPr>
        <w:rFonts w:hint="default"/>
        <w:lang w:val="id" w:eastAsia="en-US" w:bidi="ar-SA"/>
      </w:rPr>
    </w:lvl>
    <w:lvl w:ilvl="7">
      <w:numFmt w:val="bullet"/>
      <w:lvlText w:val="•"/>
      <w:lvlJc w:val="left"/>
      <w:pPr>
        <w:ind w:left="7308" w:hanging="368"/>
      </w:pPr>
      <w:rPr>
        <w:rFonts w:hint="default"/>
        <w:lang w:val="id" w:eastAsia="en-US" w:bidi="ar-SA"/>
      </w:rPr>
    </w:lvl>
    <w:lvl w:ilvl="8">
      <w:numFmt w:val="bullet"/>
      <w:lvlText w:val="•"/>
      <w:lvlJc w:val="left"/>
      <w:pPr>
        <w:ind w:left="8232" w:hanging="368"/>
      </w:pPr>
      <w:rPr>
        <w:rFonts w:hint="default"/>
        <w:lang w:val="id" w:eastAsia="en-US" w:bidi="ar-SA"/>
      </w:rPr>
    </w:lvl>
  </w:abstractNum>
  <w:abstractNum w:abstractNumId="18" w15:restartNumberingAfterBreak="0">
    <w:nsid w:val="49290117"/>
    <w:multiLevelType w:val="hybridMultilevel"/>
    <w:tmpl w:val="4470DB60"/>
    <w:lvl w:ilvl="0" w:tplc="F70C4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630548"/>
    <w:multiLevelType w:val="multilevel"/>
    <w:tmpl w:val="B34287E8"/>
    <w:lvl w:ilvl="0">
      <w:start w:val="1"/>
      <w:numFmt w:val="decimal"/>
      <w:lvlText w:val="%1."/>
      <w:lvlJc w:val="left"/>
      <w:pPr>
        <w:ind w:left="502" w:hanging="360"/>
      </w:pPr>
      <w:rPr>
        <w:rFonts w:hint="default"/>
      </w:rPr>
    </w:lvl>
    <w:lvl w:ilvl="1">
      <w:start w:val="2"/>
      <w:numFmt w:val="decimal"/>
      <w:isLgl/>
      <w:lvlText w:val="%1.%2"/>
      <w:lvlJc w:val="left"/>
      <w:pPr>
        <w:ind w:left="804" w:hanging="360"/>
      </w:pPr>
      <w:rPr>
        <w:rFonts w:hint="default"/>
      </w:rPr>
    </w:lvl>
    <w:lvl w:ilvl="2">
      <w:start w:val="1"/>
      <w:numFmt w:val="decimal"/>
      <w:isLgl/>
      <w:lvlText w:val="%1.%2.%3"/>
      <w:lvlJc w:val="left"/>
      <w:pPr>
        <w:ind w:left="1466" w:hanging="720"/>
      </w:pPr>
      <w:rPr>
        <w:rFonts w:hint="default"/>
      </w:rPr>
    </w:lvl>
    <w:lvl w:ilvl="3">
      <w:start w:val="1"/>
      <w:numFmt w:val="decimal"/>
      <w:isLgl/>
      <w:lvlText w:val="%1.%2.%3.%4"/>
      <w:lvlJc w:val="left"/>
      <w:pPr>
        <w:ind w:left="1768"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732" w:hanging="1080"/>
      </w:pPr>
      <w:rPr>
        <w:rFonts w:hint="default"/>
      </w:rPr>
    </w:lvl>
    <w:lvl w:ilvl="6">
      <w:start w:val="1"/>
      <w:numFmt w:val="decimal"/>
      <w:isLgl/>
      <w:lvlText w:val="%1.%2.%3.%4.%5.%6.%7"/>
      <w:lvlJc w:val="left"/>
      <w:pPr>
        <w:ind w:left="3394" w:hanging="1440"/>
      </w:pPr>
      <w:rPr>
        <w:rFonts w:hint="default"/>
      </w:rPr>
    </w:lvl>
    <w:lvl w:ilvl="7">
      <w:start w:val="1"/>
      <w:numFmt w:val="decimal"/>
      <w:isLgl/>
      <w:lvlText w:val="%1.%2.%3.%4.%5.%6.%7.%8"/>
      <w:lvlJc w:val="left"/>
      <w:pPr>
        <w:ind w:left="3696" w:hanging="1440"/>
      </w:pPr>
      <w:rPr>
        <w:rFonts w:hint="default"/>
      </w:rPr>
    </w:lvl>
    <w:lvl w:ilvl="8">
      <w:start w:val="1"/>
      <w:numFmt w:val="decimal"/>
      <w:isLgl/>
      <w:lvlText w:val="%1.%2.%3.%4.%5.%6.%7.%8.%9"/>
      <w:lvlJc w:val="left"/>
      <w:pPr>
        <w:ind w:left="3998" w:hanging="1440"/>
      </w:pPr>
      <w:rPr>
        <w:rFonts w:hint="default"/>
      </w:rPr>
    </w:lvl>
  </w:abstractNum>
  <w:abstractNum w:abstractNumId="20" w15:restartNumberingAfterBreak="0">
    <w:nsid w:val="4E6E0574"/>
    <w:multiLevelType w:val="hybridMultilevel"/>
    <w:tmpl w:val="D6C4C620"/>
    <w:lvl w:ilvl="0" w:tplc="DA463F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4F093F34"/>
    <w:multiLevelType w:val="multilevel"/>
    <w:tmpl w:val="EBDC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8E05DF"/>
    <w:multiLevelType w:val="hybridMultilevel"/>
    <w:tmpl w:val="B3680E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3" w15:restartNumberingAfterBreak="0">
    <w:nsid w:val="54FD443F"/>
    <w:multiLevelType w:val="multilevel"/>
    <w:tmpl w:val="9DE032B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5CF8622B"/>
    <w:multiLevelType w:val="multilevel"/>
    <w:tmpl w:val="CFD6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971676E"/>
    <w:multiLevelType w:val="hybridMultilevel"/>
    <w:tmpl w:val="54B297CA"/>
    <w:lvl w:ilvl="0" w:tplc="EE26C294">
      <w:start w:val="1"/>
      <w:numFmt w:val="decimal"/>
      <w:lvlText w:val="%1)"/>
      <w:lvlJc w:val="left"/>
      <w:pPr>
        <w:ind w:left="720" w:hanging="360"/>
      </w:pPr>
      <w:rPr>
        <w:rFonts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360DC"/>
    <w:multiLevelType w:val="multilevel"/>
    <w:tmpl w:val="52342F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3B6051"/>
    <w:multiLevelType w:val="multilevel"/>
    <w:tmpl w:val="B0F2DDC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750B6694"/>
    <w:multiLevelType w:val="multilevel"/>
    <w:tmpl w:val="E8C2E02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68718096">
    <w:abstractNumId w:val="30"/>
  </w:num>
  <w:num w:numId="2" w16cid:durableId="1848398455">
    <w:abstractNumId w:val="0"/>
  </w:num>
  <w:num w:numId="3" w16cid:durableId="2113429957">
    <w:abstractNumId w:val="8"/>
  </w:num>
  <w:num w:numId="4" w16cid:durableId="1479036428">
    <w:abstractNumId w:val="2"/>
  </w:num>
  <w:num w:numId="5" w16cid:durableId="2056421232">
    <w:abstractNumId w:val="11"/>
  </w:num>
  <w:num w:numId="6" w16cid:durableId="1068381421">
    <w:abstractNumId w:val="9"/>
  </w:num>
  <w:num w:numId="7" w16cid:durableId="414087690">
    <w:abstractNumId w:val="30"/>
  </w:num>
  <w:num w:numId="8" w16cid:durableId="204801418">
    <w:abstractNumId w:val="22"/>
  </w:num>
  <w:num w:numId="9" w16cid:durableId="115802805">
    <w:abstractNumId w:val="30"/>
  </w:num>
  <w:num w:numId="10" w16cid:durableId="834148288">
    <w:abstractNumId w:val="30"/>
  </w:num>
  <w:num w:numId="11" w16cid:durableId="392117513">
    <w:abstractNumId w:val="30"/>
  </w:num>
  <w:num w:numId="12" w16cid:durableId="660735752">
    <w:abstractNumId w:val="15"/>
  </w:num>
  <w:num w:numId="13" w16cid:durableId="453059067">
    <w:abstractNumId w:val="30"/>
  </w:num>
  <w:num w:numId="14" w16cid:durableId="354699643">
    <w:abstractNumId w:val="30"/>
  </w:num>
  <w:num w:numId="15" w16cid:durableId="1825000278">
    <w:abstractNumId w:val="16"/>
  </w:num>
  <w:num w:numId="16" w16cid:durableId="568347766">
    <w:abstractNumId w:val="1"/>
  </w:num>
  <w:num w:numId="17" w16cid:durableId="1689599579">
    <w:abstractNumId w:val="6"/>
  </w:num>
  <w:num w:numId="18" w16cid:durableId="2068457915">
    <w:abstractNumId w:val="5"/>
  </w:num>
  <w:num w:numId="19" w16cid:durableId="1019240825">
    <w:abstractNumId w:val="25"/>
  </w:num>
  <w:num w:numId="20" w16cid:durableId="1983119828">
    <w:abstractNumId w:val="3"/>
  </w:num>
  <w:num w:numId="21" w16cid:durableId="42602093">
    <w:abstractNumId w:val="26"/>
  </w:num>
  <w:num w:numId="22" w16cid:durableId="983236908">
    <w:abstractNumId w:val="23"/>
  </w:num>
  <w:num w:numId="23" w16cid:durableId="1852992389">
    <w:abstractNumId w:val="4"/>
  </w:num>
  <w:num w:numId="24" w16cid:durableId="891574277">
    <w:abstractNumId w:val="27"/>
  </w:num>
  <w:num w:numId="25" w16cid:durableId="424229247">
    <w:abstractNumId w:val="21"/>
  </w:num>
  <w:num w:numId="26" w16cid:durableId="356271950">
    <w:abstractNumId w:val="24"/>
  </w:num>
  <w:num w:numId="27" w16cid:durableId="539627632">
    <w:abstractNumId w:val="20"/>
  </w:num>
  <w:num w:numId="28" w16cid:durableId="931086615">
    <w:abstractNumId w:val="10"/>
  </w:num>
  <w:num w:numId="29" w16cid:durableId="1946960420">
    <w:abstractNumId w:val="13"/>
  </w:num>
  <w:num w:numId="30" w16cid:durableId="1917091138">
    <w:abstractNumId w:val="18"/>
  </w:num>
  <w:num w:numId="31" w16cid:durableId="107700007">
    <w:abstractNumId w:val="7"/>
  </w:num>
  <w:num w:numId="32" w16cid:durableId="2002850780">
    <w:abstractNumId w:val="12"/>
  </w:num>
  <w:num w:numId="33" w16cid:durableId="89670314">
    <w:abstractNumId w:val="19"/>
  </w:num>
  <w:num w:numId="34" w16cid:durableId="1587693121">
    <w:abstractNumId w:val="29"/>
  </w:num>
  <w:num w:numId="35" w16cid:durableId="1819150192">
    <w:abstractNumId w:val="17"/>
  </w:num>
  <w:num w:numId="36" w16cid:durableId="744373437">
    <w:abstractNumId w:val="14"/>
  </w:num>
  <w:num w:numId="37" w16cid:durableId="1517577295">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EC"/>
    <w:rsid w:val="000079DC"/>
    <w:rsid w:val="00007FC8"/>
    <w:rsid w:val="000303DE"/>
    <w:rsid w:val="000363B2"/>
    <w:rsid w:val="0004527E"/>
    <w:rsid w:val="0005391C"/>
    <w:rsid w:val="0005604D"/>
    <w:rsid w:val="000604D6"/>
    <w:rsid w:val="00064850"/>
    <w:rsid w:val="00074758"/>
    <w:rsid w:val="0007661B"/>
    <w:rsid w:val="00084216"/>
    <w:rsid w:val="000B015E"/>
    <w:rsid w:val="000B5621"/>
    <w:rsid w:val="000B69AE"/>
    <w:rsid w:val="000C4940"/>
    <w:rsid w:val="000C664A"/>
    <w:rsid w:val="000D6E50"/>
    <w:rsid w:val="00104022"/>
    <w:rsid w:val="00112115"/>
    <w:rsid w:val="00116F84"/>
    <w:rsid w:val="001553BE"/>
    <w:rsid w:val="00167103"/>
    <w:rsid w:val="00173F9F"/>
    <w:rsid w:val="00177264"/>
    <w:rsid w:val="00183509"/>
    <w:rsid w:val="00187458"/>
    <w:rsid w:val="001900EC"/>
    <w:rsid w:val="00194CC9"/>
    <w:rsid w:val="00197968"/>
    <w:rsid w:val="001A668E"/>
    <w:rsid w:val="001B7840"/>
    <w:rsid w:val="001C0EE2"/>
    <w:rsid w:val="001D3E9F"/>
    <w:rsid w:val="001F4FA4"/>
    <w:rsid w:val="001F62FF"/>
    <w:rsid w:val="00210988"/>
    <w:rsid w:val="002113F2"/>
    <w:rsid w:val="00213C4E"/>
    <w:rsid w:val="002169DE"/>
    <w:rsid w:val="0022751F"/>
    <w:rsid w:val="00232D95"/>
    <w:rsid w:val="0024024E"/>
    <w:rsid w:val="00246D99"/>
    <w:rsid w:val="002515C2"/>
    <w:rsid w:val="00270576"/>
    <w:rsid w:val="00276BE4"/>
    <w:rsid w:val="0028150B"/>
    <w:rsid w:val="002973EC"/>
    <w:rsid w:val="002A7497"/>
    <w:rsid w:val="002A7C07"/>
    <w:rsid w:val="002B2D02"/>
    <w:rsid w:val="002C442D"/>
    <w:rsid w:val="002D2435"/>
    <w:rsid w:val="002D397F"/>
    <w:rsid w:val="002F1A93"/>
    <w:rsid w:val="002F6E0E"/>
    <w:rsid w:val="003049D7"/>
    <w:rsid w:val="00306663"/>
    <w:rsid w:val="003157D3"/>
    <w:rsid w:val="00324027"/>
    <w:rsid w:val="00350A02"/>
    <w:rsid w:val="00355D34"/>
    <w:rsid w:val="003722BE"/>
    <w:rsid w:val="00387AD6"/>
    <w:rsid w:val="003B0B2D"/>
    <w:rsid w:val="003D1E1E"/>
    <w:rsid w:val="003F0014"/>
    <w:rsid w:val="00402F26"/>
    <w:rsid w:val="004035DC"/>
    <w:rsid w:val="004250F1"/>
    <w:rsid w:val="00433664"/>
    <w:rsid w:val="004522C0"/>
    <w:rsid w:val="004630A7"/>
    <w:rsid w:val="00477904"/>
    <w:rsid w:val="0048272F"/>
    <w:rsid w:val="004913A3"/>
    <w:rsid w:val="00492E66"/>
    <w:rsid w:val="004A27C9"/>
    <w:rsid w:val="004B0ED2"/>
    <w:rsid w:val="004B0F72"/>
    <w:rsid w:val="004C16E4"/>
    <w:rsid w:val="004C1F61"/>
    <w:rsid w:val="004C4E6F"/>
    <w:rsid w:val="004D34B5"/>
    <w:rsid w:val="004D5A1E"/>
    <w:rsid w:val="004E6CFF"/>
    <w:rsid w:val="004F130D"/>
    <w:rsid w:val="004F1640"/>
    <w:rsid w:val="005023C2"/>
    <w:rsid w:val="005104FD"/>
    <w:rsid w:val="00520D18"/>
    <w:rsid w:val="00540AF0"/>
    <w:rsid w:val="0054660D"/>
    <w:rsid w:val="0054759D"/>
    <w:rsid w:val="00554556"/>
    <w:rsid w:val="00566FCC"/>
    <w:rsid w:val="005717DF"/>
    <w:rsid w:val="005755D5"/>
    <w:rsid w:val="00576E07"/>
    <w:rsid w:val="00590890"/>
    <w:rsid w:val="00592560"/>
    <w:rsid w:val="005A5048"/>
    <w:rsid w:val="005B5CD6"/>
    <w:rsid w:val="005C26CF"/>
    <w:rsid w:val="005C7E84"/>
    <w:rsid w:val="005D030D"/>
    <w:rsid w:val="005E401D"/>
    <w:rsid w:val="00606B0D"/>
    <w:rsid w:val="006200BA"/>
    <w:rsid w:val="00630C63"/>
    <w:rsid w:val="006317B9"/>
    <w:rsid w:val="00633C6C"/>
    <w:rsid w:val="00634128"/>
    <w:rsid w:val="006362AF"/>
    <w:rsid w:val="00645755"/>
    <w:rsid w:val="00660FEC"/>
    <w:rsid w:val="0066365A"/>
    <w:rsid w:val="006713FC"/>
    <w:rsid w:val="00680B33"/>
    <w:rsid w:val="006879F3"/>
    <w:rsid w:val="00693EE5"/>
    <w:rsid w:val="006A68BA"/>
    <w:rsid w:val="006B0750"/>
    <w:rsid w:val="006B08C9"/>
    <w:rsid w:val="006B12E7"/>
    <w:rsid w:val="006C5AA4"/>
    <w:rsid w:val="006C6B04"/>
    <w:rsid w:val="00713880"/>
    <w:rsid w:val="00717760"/>
    <w:rsid w:val="00720462"/>
    <w:rsid w:val="00747C9B"/>
    <w:rsid w:val="007517B7"/>
    <w:rsid w:val="00751E1D"/>
    <w:rsid w:val="00770A3C"/>
    <w:rsid w:val="007863B5"/>
    <w:rsid w:val="007910EA"/>
    <w:rsid w:val="007928A3"/>
    <w:rsid w:val="007A3E1B"/>
    <w:rsid w:val="007D0829"/>
    <w:rsid w:val="007D20BD"/>
    <w:rsid w:val="007D396F"/>
    <w:rsid w:val="007E164C"/>
    <w:rsid w:val="007F24CC"/>
    <w:rsid w:val="007F65DE"/>
    <w:rsid w:val="00801B6B"/>
    <w:rsid w:val="00804EFA"/>
    <w:rsid w:val="00810D52"/>
    <w:rsid w:val="00812D0C"/>
    <w:rsid w:val="00814529"/>
    <w:rsid w:val="0082098F"/>
    <w:rsid w:val="00823C1D"/>
    <w:rsid w:val="008348F4"/>
    <w:rsid w:val="008419DA"/>
    <w:rsid w:val="008456E8"/>
    <w:rsid w:val="00845EE6"/>
    <w:rsid w:val="0085722C"/>
    <w:rsid w:val="0088203A"/>
    <w:rsid w:val="0088692D"/>
    <w:rsid w:val="008B39FB"/>
    <w:rsid w:val="008B7ED5"/>
    <w:rsid w:val="008C29E2"/>
    <w:rsid w:val="008C3CA0"/>
    <w:rsid w:val="008C4BAD"/>
    <w:rsid w:val="008D3F19"/>
    <w:rsid w:val="008E04D6"/>
    <w:rsid w:val="00901510"/>
    <w:rsid w:val="00902165"/>
    <w:rsid w:val="00904136"/>
    <w:rsid w:val="0090428A"/>
    <w:rsid w:val="00912D7A"/>
    <w:rsid w:val="00950987"/>
    <w:rsid w:val="00983159"/>
    <w:rsid w:val="009834B7"/>
    <w:rsid w:val="009869E6"/>
    <w:rsid w:val="00992CC1"/>
    <w:rsid w:val="009A3A11"/>
    <w:rsid w:val="009B696B"/>
    <w:rsid w:val="009C6868"/>
    <w:rsid w:val="009D01BF"/>
    <w:rsid w:val="009D709A"/>
    <w:rsid w:val="00A03CFE"/>
    <w:rsid w:val="00A05D17"/>
    <w:rsid w:val="00A10BAC"/>
    <w:rsid w:val="00A414C6"/>
    <w:rsid w:val="00A5671F"/>
    <w:rsid w:val="00A83512"/>
    <w:rsid w:val="00A9702C"/>
    <w:rsid w:val="00AA437F"/>
    <w:rsid w:val="00AA43B8"/>
    <w:rsid w:val="00AA4F61"/>
    <w:rsid w:val="00AA5DB0"/>
    <w:rsid w:val="00AB293F"/>
    <w:rsid w:val="00AC09F8"/>
    <w:rsid w:val="00AC7AED"/>
    <w:rsid w:val="00AD2900"/>
    <w:rsid w:val="00AD37CA"/>
    <w:rsid w:val="00AE3B5D"/>
    <w:rsid w:val="00AF7B09"/>
    <w:rsid w:val="00B00954"/>
    <w:rsid w:val="00B03F2F"/>
    <w:rsid w:val="00B1721B"/>
    <w:rsid w:val="00B2423A"/>
    <w:rsid w:val="00B35BAA"/>
    <w:rsid w:val="00B36655"/>
    <w:rsid w:val="00B5164D"/>
    <w:rsid w:val="00B5758C"/>
    <w:rsid w:val="00B637EF"/>
    <w:rsid w:val="00B84A57"/>
    <w:rsid w:val="00B96B80"/>
    <w:rsid w:val="00BB4822"/>
    <w:rsid w:val="00BC2DE6"/>
    <w:rsid w:val="00BD019B"/>
    <w:rsid w:val="00BE2DBF"/>
    <w:rsid w:val="00C2784F"/>
    <w:rsid w:val="00C30619"/>
    <w:rsid w:val="00C354D1"/>
    <w:rsid w:val="00C36E8D"/>
    <w:rsid w:val="00C40F7C"/>
    <w:rsid w:val="00C75AF3"/>
    <w:rsid w:val="00C77207"/>
    <w:rsid w:val="00C819F3"/>
    <w:rsid w:val="00CA0458"/>
    <w:rsid w:val="00CA1CFC"/>
    <w:rsid w:val="00CA54DD"/>
    <w:rsid w:val="00CA7121"/>
    <w:rsid w:val="00CB4A3E"/>
    <w:rsid w:val="00CC6C92"/>
    <w:rsid w:val="00CD5559"/>
    <w:rsid w:val="00CF1E3D"/>
    <w:rsid w:val="00D116C3"/>
    <w:rsid w:val="00D14DAF"/>
    <w:rsid w:val="00D170DB"/>
    <w:rsid w:val="00D300EF"/>
    <w:rsid w:val="00D30F8D"/>
    <w:rsid w:val="00D345D2"/>
    <w:rsid w:val="00D43284"/>
    <w:rsid w:val="00D515BC"/>
    <w:rsid w:val="00D61936"/>
    <w:rsid w:val="00D74B35"/>
    <w:rsid w:val="00D81C46"/>
    <w:rsid w:val="00D863C6"/>
    <w:rsid w:val="00D95D7C"/>
    <w:rsid w:val="00D963D5"/>
    <w:rsid w:val="00DA78E4"/>
    <w:rsid w:val="00DB1A15"/>
    <w:rsid w:val="00DD54C2"/>
    <w:rsid w:val="00E01651"/>
    <w:rsid w:val="00E02CD2"/>
    <w:rsid w:val="00E146B4"/>
    <w:rsid w:val="00E1670E"/>
    <w:rsid w:val="00E1671E"/>
    <w:rsid w:val="00E20FA4"/>
    <w:rsid w:val="00E2267A"/>
    <w:rsid w:val="00E23E7B"/>
    <w:rsid w:val="00E2427E"/>
    <w:rsid w:val="00E25E71"/>
    <w:rsid w:val="00E42C0E"/>
    <w:rsid w:val="00E47317"/>
    <w:rsid w:val="00E55294"/>
    <w:rsid w:val="00E565F1"/>
    <w:rsid w:val="00E6076B"/>
    <w:rsid w:val="00E60C3C"/>
    <w:rsid w:val="00E67D0E"/>
    <w:rsid w:val="00E74F90"/>
    <w:rsid w:val="00E84A4D"/>
    <w:rsid w:val="00E85734"/>
    <w:rsid w:val="00E937A9"/>
    <w:rsid w:val="00E9661D"/>
    <w:rsid w:val="00EB1A0B"/>
    <w:rsid w:val="00EB67A1"/>
    <w:rsid w:val="00EB760A"/>
    <w:rsid w:val="00EC538B"/>
    <w:rsid w:val="00EC66C4"/>
    <w:rsid w:val="00EC7F38"/>
    <w:rsid w:val="00ED25D3"/>
    <w:rsid w:val="00ED71A3"/>
    <w:rsid w:val="00ED73D9"/>
    <w:rsid w:val="00EE7FA6"/>
    <w:rsid w:val="00F01A35"/>
    <w:rsid w:val="00F0630A"/>
    <w:rsid w:val="00F16E81"/>
    <w:rsid w:val="00F2029C"/>
    <w:rsid w:val="00F2079A"/>
    <w:rsid w:val="00F21832"/>
    <w:rsid w:val="00F24174"/>
    <w:rsid w:val="00F302F7"/>
    <w:rsid w:val="00F3424E"/>
    <w:rsid w:val="00F35ED6"/>
    <w:rsid w:val="00F420FF"/>
    <w:rsid w:val="00F56BDE"/>
    <w:rsid w:val="00F639A1"/>
    <w:rsid w:val="00F63FE9"/>
    <w:rsid w:val="00F7100C"/>
    <w:rsid w:val="00F74FAF"/>
    <w:rsid w:val="00F97F99"/>
    <w:rsid w:val="00FA3F40"/>
    <w:rsid w:val="00FA4B23"/>
    <w:rsid w:val="00FA6CCD"/>
    <w:rsid w:val="00FC4DFE"/>
    <w:rsid w:val="00FC6469"/>
    <w:rsid w:val="00FE35C3"/>
    <w:rsid w:val="00FE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0F463"/>
  <w15:docId w15:val="{D125191D-0249-3047-ADDB-41C94693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B5D"/>
    <w:pPr>
      <w:autoSpaceDE w:val="0"/>
      <w:autoSpaceDN w:val="0"/>
      <w:spacing w:before="120"/>
      <w:ind w:firstLine="284"/>
      <w:jc w:val="both"/>
    </w:pPr>
    <w:rPr>
      <w:sz w:val="24"/>
      <w:lang w:val="cs-CZ" w:eastAsia="cs-CZ"/>
    </w:rPr>
  </w:style>
  <w:style w:type="paragraph" w:styleId="Heading1">
    <w:name w:val="heading 1"/>
    <w:basedOn w:val="Normal"/>
    <w:next w:val="Normal"/>
    <w:link w:val="Heading1Char"/>
    <w:uiPriority w:val="9"/>
    <w:qFormat/>
    <w:rsid w:val="006C5AA4"/>
    <w:pPr>
      <w:keepNext/>
      <w:numPr>
        <w:numId w:val="1"/>
      </w:numPr>
      <w:spacing w:before="360" w:after="120"/>
      <w:outlineLvl w:val="0"/>
    </w:pPr>
    <w:rPr>
      <w:b/>
      <w:bCs/>
      <w:kern w:val="28"/>
      <w:sz w:val="28"/>
      <w:szCs w:val="30"/>
      <w:lang w:val="x-none"/>
    </w:rPr>
  </w:style>
  <w:style w:type="paragraph" w:styleId="Heading2">
    <w:name w:val="heading 2"/>
    <w:basedOn w:val="Normal"/>
    <w:next w:val="Normal"/>
    <w:link w:val="Heading2Char"/>
    <w:uiPriority w:val="9"/>
    <w:qFormat/>
    <w:rsid w:val="00183509"/>
    <w:pPr>
      <w:keepNext/>
      <w:numPr>
        <w:ilvl w:val="1"/>
        <w:numId w:val="1"/>
      </w:numPr>
      <w:tabs>
        <w:tab w:val="right" w:pos="454"/>
      </w:tabs>
      <w:spacing w:before="240" w:after="120"/>
      <w:ind w:left="340" w:hanging="340"/>
      <w:outlineLvl w:val="1"/>
    </w:pPr>
    <w:rPr>
      <w:b/>
      <w:bCs/>
      <w:szCs w:val="24"/>
      <w:lang w:val="x-none"/>
    </w:rPr>
  </w:style>
  <w:style w:type="paragraph" w:styleId="Heading3">
    <w:name w:val="heading 3"/>
    <w:basedOn w:val="Normal"/>
    <w:next w:val="Normal"/>
    <w:qFormat/>
    <w:rsid w:val="00183509"/>
    <w:pPr>
      <w:keepNext/>
      <w:numPr>
        <w:ilvl w:val="2"/>
        <w:numId w:val="1"/>
      </w:numPr>
      <w:spacing w:after="60"/>
      <w:outlineLvl w:val="2"/>
    </w:pPr>
    <w:rPr>
      <w:b/>
      <w:bCs/>
      <w:szCs w:val="22"/>
      <w:lang w:val="en-US"/>
    </w:rPr>
  </w:style>
  <w:style w:type="paragraph" w:styleId="Heading4">
    <w:name w:val="heading 4"/>
    <w:basedOn w:val="Normal"/>
    <w:next w:val="Normal"/>
    <w:qFormat/>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Heading5">
    <w:name w:val="heading 5"/>
    <w:basedOn w:val="Normal"/>
    <w:next w:val="Normal"/>
    <w:qFormat/>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Heading6">
    <w:name w:val="heading 6"/>
    <w:basedOn w:val="Normal"/>
    <w:next w:val="Normal"/>
    <w:qFormat/>
    <w:pPr>
      <w:numPr>
        <w:ilvl w:val="5"/>
        <w:numId w:val="1"/>
      </w:numPr>
      <w:tabs>
        <w:tab w:val="num" w:pos="0"/>
      </w:tabs>
      <w:spacing w:before="240" w:after="60"/>
      <w:ind w:left="340" w:hanging="340"/>
      <w:outlineLvl w:val="5"/>
    </w:pPr>
    <w:rPr>
      <w:i/>
      <w:iCs/>
      <w:sz w:val="22"/>
      <w:szCs w:val="22"/>
      <w:lang w:val="en-US"/>
    </w:rPr>
  </w:style>
  <w:style w:type="paragraph" w:styleId="Heading7">
    <w:name w:val="heading 7"/>
    <w:basedOn w:val="Normal"/>
    <w:next w:val="Normal"/>
    <w:qFormat/>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25D3"/>
    <w:rPr>
      <w:b/>
      <w:bCs/>
      <w:kern w:val="28"/>
      <w:sz w:val="28"/>
      <w:szCs w:val="30"/>
      <w:lang w:eastAsia="cs-CZ"/>
    </w:rPr>
  </w:style>
  <w:style w:type="character" w:customStyle="1" w:styleId="Heading2Char">
    <w:name w:val="Heading 2 Char"/>
    <w:link w:val="Heading2"/>
    <w:rsid w:val="00ED25D3"/>
    <w:rPr>
      <w:b/>
      <w:bCs/>
      <w:sz w:val="24"/>
      <w:szCs w:val="24"/>
      <w:lang w:eastAsia="cs-CZ"/>
    </w:rPr>
  </w:style>
  <w:style w:type="paragraph" w:styleId="BodyText">
    <w:name w:val="Body Text"/>
    <w:basedOn w:val="Normal"/>
    <w:uiPriority w:val="1"/>
    <w:qFormat/>
    <w:rPr>
      <w:szCs w:val="24"/>
      <w:lang w:val="en-US"/>
    </w:rPr>
  </w:style>
  <w:style w:type="paragraph" w:customStyle="1" w:styleId="Abstract">
    <w:name w:val="Abstract"/>
    <w:pPr>
      <w:autoSpaceDE w:val="0"/>
      <w:autoSpaceDN w:val="0"/>
      <w:ind w:right="567"/>
      <w:jc w:val="both"/>
    </w:pPr>
    <w:rPr>
      <w:sz w:val="22"/>
      <w:szCs w:val="22"/>
      <w:lang w:eastAsia="cs-CZ"/>
    </w:rPr>
  </w:style>
  <w:style w:type="paragraph" w:customStyle="1" w:styleId="KeywordTitle">
    <w:name w:val="Keyword Title"/>
    <w:pPr>
      <w:autoSpaceDE w:val="0"/>
      <w:autoSpaceDN w:val="0"/>
      <w:spacing w:before="240" w:after="120"/>
      <w:ind w:right="567"/>
    </w:pPr>
    <w:rPr>
      <w:b/>
      <w:bCs/>
      <w:sz w:val="22"/>
      <w:szCs w:val="22"/>
      <w:lang w:eastAsia="cs-CZ"/>
    </w:rPr>
  </w:style>
  <w:style w:type="paragraph" w:customStyle="1" w:styleId="Keyword">
    <w:name w:val="Keyword"/>
    <w:pPr>
      <w:autoSpaceDE w:val="0"/>
      <w:autoSpaceDN w:val="0"/>
      <w:ind w:right="567"/>
      <w:jc w:val="both"/>
    </w:pPr>
    <w:rPr>
      <w:sz w:val="22"/>
      <w:szCs w:val="22"/>
      <w:lang w:eastAsia="cs-CZ"/>
    </w:rPr>
  </w:style>
  <w:style w:type="paragraph" w:customStyle="1" w:styleId="AbstractTitle">
    <w:name w:val="Abstract Title"/>
    <w:basedOn w:val="Abstract"/>
    <w:next w:val="Abstract"/>
    <w:pPr>
      <w:spacing w:before="600" w:after="120"/>
      <w:jc w:val="left"/>
    </w:pPr>
    <w:rPr>
      <w:b/>
      <w:bCs/>
    </w:rPr>
  </w:style>
  <w:style w:type="paragraph" w:customStyle="1" w:styleId="Author">
    <w:name w:val="Author"/>
    <w:pPr>
      <w:autoSpaceDE w:val="0"/>
      <w:autoSpaceDN w:val="0"/>
      <w:spacing w:before="120" w:after="120"/>
      <w:jc w:val="center"/>
    </w:pPr>
    <w:rPr>
      <w:sz w:val="22"/>
      <w:szCs w:val="22"/>
      <w:lang w:eastAsia="cs-CZ"/>
    </w:rPr>
  </w:style>
  <w:style w:type="paragraph" w:customStyle="1" w:styleId="BibItem">
    <w:name w:val="BibItem"/>
    <w:basedOn w:val="BodyText"/>
    <w:pPr>
      <w:keepLines/>
      <w:numPr>
        <w:numId w:val="3"/>
      </w:numPr>
      <w:tabs>
        <w:tab w:val="clear" w:pos="1222"/>
      </w:tabs>
      <w:ind w:left="454" w:hanging="454"/>
    </w:pPr>
  </w:style>
  <w:style w:type="paragraph" w:styleId="ListNumber">
    <w:name w:val="List Number"/>
    <w:basedOn w:val="Normal"/>
    <w:pPr>
      <w:numPr>
        <w:numId w:val="5"/>
      </w:numPr>
    </w:pPr>
    <w:rPr>
      <w:sz w:val="22"/>
      <w:szCs w:val="22"/>
      <w:lang w:val="en-US"/>
    </w:rPr>
  </w:style>
  <w:style w:type="paragraph" w:customStyle="1" w:styleId="Equation">
    <w:name w:val="Equation"/>
    <w:pPr>
      <w:tabs>
        <w:tab w:val="center" w:pos="4536"/>
        <w:tab w:val="right" w:pos="9072"/>
      </w:tabs>
      <w:autoSpaceDE w:val="0"/>
      <w:autoSpaceDN w:val="0"/>
      <w:spacing w:before="160" w:after="120"/>
      <w:jc w:val="center"/>
    </w:pPr>
    <w:rPr>
      <w:sz w:val="22"/>
      <w:szCs w:val="22"/>
      <w:lang w:eastAsia="cs-CZ"/>
    </w:rPr>
  </w:style>
  <w:style w:type="paragraph" w:customStyle="1" w:styleId="Figure">
    <w:name w:val="Figure"/>
    <w:pPr>
      <w:autoSpaceDE w:val="0"/>
      <w:autoSpaceDN w:val="0"/>
      <w:spacing w:before="240"/>
      <w:jc w:val="center"/>
    </w:pPr>
    <w:rPr>
      <w:sz w:val="22"/>
      <w:szCs w:val="22"/>
      <w:lang w:eastAsia="cs-CZ"/>
    </w:rPr>
  </w:style>
  <w:style w:type="paragraph" w:styleId="ListBullet">
    <w:name w:val="List Bullet"/>
    <w:basedOn w:val="Normal"/>
    <w:autoRedefine/>
    <w:pPr>
      <w:numPr>
        <w:numId w:val="4"/>
      </w:numPr>
      <w:spacing w:before="60" w:after="60"/>
    </w:pPr>
    <w:rPr>
      <w:szCs w:val="22"/>
    </w:rPr>
  </w:style>
  <w:style w:type="paragraph" w:customStyle="1" w:styleId="Tabular">
    <w:name w:val="Tabular"/>
    <w:pPr>
      <w:autoSpaceDE w:val="0"/>
      <w:autoSpaceDN w:val="0"/>
      <w:jc w:val="center"/>
    </w:pPr>
    <w:rPr>
      <w:sz w:val="22"/>
      <w:szCs w:val="22"/>
      <w:lang w:eastAsia="cs-CZ"/>
    </w:rPr>
  </w:style>
  <w:style w:type="paragraph" w:styleId="FootnoteText">
    <w:name w:val="footnote text"/>
    <w:basedOn w:val="Normal"/>
    <w:semiHidden/>
    <w:rPr>
      <w:sz w:val="22"/>
      <w:szCs w:val="22"/>
    </w:rPr>
  </w:style>
  <w:style w:type="paragraph" w:styleId="Title">
    <w:name w:val="Title"/>
    <w:basedOn w:val="Normal"/>
    <w:link w:val="TitleChar"/>
    <w:qFormat/>
    <w:rsid w:val="003F0014"/>
    <w:pPr>
      <w:spacing w:before="480" w:after="120"/>
      <w:ind w:left="851" w:right="850"/>
      <w:jc w:val="center"/>
    </w:pPr>
    <w:rPr>
      <w:b/>
      <w:caps/>
      <w:sz w:val="32"/>
      <w:szCs w:val="32"/>
      <w:lang w:val="en-US"/>
    </w:rPr>
  </w:style>
  <w:style w:type="character" w:customStyle="1" w:styleId="TitleChar">
    <w:name w:val="Title Char"/>
    <w:link w:val="Title"/>
    <w:rsid w:val="007863B5"/>
    <w:rPr>
      <w:rFonts w:cs="Arial"/>
      <w:b/>
      <w:caps/>
      <w:sz w:val="32"/>
      <w:szCs w:val="32"/>
      <w:lang w:val="en-US" w:eastAsia="cs-CZ"/>
    </w:rPr>
  </w:style>
  <w:style w:type="paragraph" w:styleId="Caption">
    <w:name w:val="caption"/>
    <w:basedOn w:val="Normal"/>
    <w:next w:val="Normal"/>
    <w:uiPriority w:val="35"/>
    <w:qFormat/>
    <w:pPr>
      <w:spacing w:after="120"/>
      <w:ind w:left="567" w:right="539"/>
      <w:jc w:val="center"/>
    </w:pPr>
    <w:rPr>
      <w:sz w:val="22"/>
      <w:szCs w:val="22"/>
      <w:lang w:val="en-US"/>
    </w:rPr>
  </w:style>
  <w:style w:type="character" w:styleId="FootnoteReference">
    <w:name w:val="footnote reference"/>
    <w:semiHidden/>
    <w:rPr>
      <w:vertAlign w:val="superscript"/>
    </w:rPr>
  </w:style>
  <w:style w:type="paragraph" w:styleId="Header">
    <w:name w:val="header"/>
    <w:basedOn w:val="Normal"/>
    <w:link w:val="HeaderChar"/>
    <w:pPr>
      <w:tabs>
        <w:tab w:val="center" w:pos="4536"/>
        <w:tab w:val="right" w:pos="9072"/>
      </w:tabs>
    </w:pPr>
    <w:rPr>
      <w:sz w:val="22"/>
      <w:szCs w:val="22"/>
      <w:lang w:val="en-US"/>
    </w:rPr>
  </w:style>
  <w:style w:type="character" w:customStyle="1" w:styleId="HeaderChar">
    <w:name w:val="Header Char"/>
    <w:link w:val="Header"/>
    <w:rsid w:val="00717760"/>
    <w:rPr>
      <w:sz w:val="22"/>
      <w:szCs w:val="22"/>
      <w:lang w:val="en-US" w:eastAsia="cs-CZ"/>
    </w:rPr>
  </w:style>
  <w:style w:type="character" w:customStyle="1" w:styleId="Emphasized">
    <w:name w:val="Emphasized"/>
    <w:rPr>
      <w:i/>
      <w:iCs/>
    </w:rPr>
  </w:style>
  <w:style w:type="paragraph" w:styleId="Footer">
    <w:name w:val="footer"/>
    <w:basedOn w:val="Normal"/>
    <w:link w:val="FooterChar"/>
    <w:uiPriority w:val="99"/>
    <w:pPr>
      <w:tabs>
        <w:tab w:val="center" w:pos="4536"/>
        <w:tab w:val="right" w:pos="9072"/>
      </w:tabs>
    </w:pPr>
    <w:rPr>
      <w:sz w:val="22"/>
      <w:szCs w:val="22"/>
      <w:lang w:val="en-US"/>
    </w:rPr>
  </w:style>
  <w:style w:type="character" w:styleId="PageNumber">
    <w:name w:val="page number"/>
    <w:basedOn w:val="DefaultParagraphFont"/>
  </w:style>
  <w:style w:type="paragraph" w:customStyle="1" w:styleId="Literatura">
    <w:name w:val="Literatura"/>
    <w:pPr>
      <w:keepNext/>
      <w:autoSpaceDE w:val="0"/>
      <w:autoSpaceDN w:val="0"/>
      <w:spacing w:before="360" w:after="60"/>
    </w:pPr>
    <w:rPr>
      <w:b/>
      <w:bCs/>
      <w:kern w:val="28"/>
      <w:sz w:val="30"/>
      <w:szCs w:val="30"/>
      <w:lang w:eastAsia="cs-CZ"/>
    </w:rPr>
  </w:style>
  <w:style w:type="character" w:styleId="Hyperlink">
    <w:name w:val="Hyperlink"/>
    <w:uiPriority w:val="99"/>
    <w:rPr>
      <w:color w:val="0000FF"/>
      <w:u w:val="single"/>
    </w:rPr>
  </w:style>
  <w:style w:type="paragraph" w:styleId="BodyTextIndent">
    <w:name w:val="Body Text Indent"/>
    <w:basedOn w:val="Normal"/>
    <w:pPr>
      <w:tabs>
        <w:tab w:val="left" w:pos="709"/>
      </w:tabs>
      <w:spacing w:line="360" w:lineRule="auto"/>
      <w:ind w:firstLine="567"/>
    </w:pPr>
    <w:rPr>
      <w:szCs w:val="24"/>
    </w:rPr>
  </w:style>
  <w:style w:type="paragraph" w:styleId="BodyTextIndent3">
    <w:name w:val="Body Text Indent 3"/>
    <w:basedOn w:val="Normal"/>
    <w:pPr>
      <w:ind w:firstLine="567"/>
    </w:pPr>
    <w:rPr>
      <w:szCs w:val="24"/>
    </w:rPr>
  </w:style>
  <w:style w:type="paragraph" w:styleId="BodyTextIndent2">
    <w:name w:val="Body Text Indent 2"/>
    <w:basedOn w:val="Normal"/>
    <w:pPr>
      <w:spacing w:line="360" w:lineRule="auto"/>
      <w:ind w:firstLine="709"/>
    </w:pPr>
    <w:rPr>
      <w:sz w:val="22"/>
      <w:szCs w:val="22"/>
    </w:rPr>
  </w:style>
  <w:style w:type="character" w:styleId="Emphasis">
    <w:name w:val="Emphasis"/>
    <w:uiPriority w:val="20"/>
    <w:qFormat/>
    <w:rsid w:val="00A83512"/>
    <w:rPr>
      <w:i/>
      <w:iCs/>
    </w:rPr>
  </w:style>
  <w:style w:type="paragraph" w:customStyle="1" w:styleId="Tabulka">
    <w:name w:val="Tabulka"/>
    <w:basedOn w:val="BodyText"/>
    <w:pPr>
      <w:ind w:firstLine="0"/>
    </w:pPr>
    <w:rPr>
      <w:lang w:val="cs-CZ"/>
    </w:rPr>
  </w:style>
  <w:style w:type="paragraph" w:customStyle="1" w:styleId="Nadpistabulky">
    <w:name w:val="Nadpis tabulky"/>
    <w:basedOn w:val="BodyText"/>
    <w:pPr>
      <w:ind w:firstLine="0"/>
    </w:pPr>
    <w:rPr>
      <w:i/>
      <w:iCs/>
      <w:sz w:val="20"/>
      <w:szCs w:val="20"/>
      <w:lang w:val="cs-CZ"/>
    </w:rPr>
  </w:style>
  <w:style w:type="paragraph" w:customStyle="1" w:styleId="Nadpisobrzku">
    <w:name w:val="Nadpis obrázku"/>
    <w:basedOn w:val="Nadpistabulky"/>
    <w:pPr>
      <w:jc w:val="center"/>
    </w:pPr>
  </w:style>
  <w:style w:type="paragraph" w:customStyle="1" w:styleId="TTPAddress">
    <w:name w:val="TTP Address"/>
    <w:basedOn w:val="Normal"/>
    <w:uiPriority w:val="99"/>
    <w:rsid w:val="006C5AA4"/>
    <w:pPr>
      <w:jc w:val="center"/>
    </w:pPr>
    <w:rPr>
      <w:rFonts w:ascii="Arial" w:eastAsia="SimSun" w:hAnsi="Arial"/>
      <w:sz w:val="22"/>
      <w:lang w:val="en-US" w:eastAsia="en-US"/>
    </w:rPr>
  </w:style>
  <w:style w:type="paragraph" w:customStyle="1" w:styleId="TTPTitle">
    <w:name w:val="TTP Title"/>
    <w:basedOn w:val="Normal"/>
    <w:next w:val="Normal"/>
    <w:uiPriority w:val="99"/>
    <w:rsid w:val="006C5AA4"/>
    <w:pPr>
      <w:spacing w:after="120"/>
      <w:jc w:val="center"/>
    </w:pPr>
    <w:rPr>
      <w:rFonts w:ascii="Arial" w:eastAsia="SimSun" w:hAnsi="Arial"/>
      <w:b/>
      <w:sz w:val="30"/>
      <w:lang w:val="en-US" w:eastAsia="en-US"/>
    </w:rPr>
  </w:style>
  <w:style w:type="paragraph" w:customStyle="1" w:styleId="TTPAbstract">
    <w:name w:val="TTP Abstract"/>
    <w:basedOn w:val="Normal"/>
    <w:next w:val="Normal"/>
    <w:uiPriority w:val="99"/>
    <w:rsid w:val="006C5AA4"/>
    <w:pPr>
      <w:spacing w:before="360"/>
    </w:pPr>
    <w:rPr>
      <w:rFonts w:eastAsia="SimSun"/>
      <w:lang w:val="en-US" w:eastAsia="en-US"/>
    </w:rPr>
  </w:style>
  <w:style w:type="paragraph" w:customStyle="1" w:styleId="TTPKeywords">
    <w:name w:val="TTP Keywords"/>
    <w:basedOn w:val="Normal"/>
    <w:next w:val="TTPAbstract"/>
    <w:uiPriority w:val="99"/>
    <w:rsid w:val="006C5AA4"/>
    <w:pPr>
      <w:spacing w:before="360"/>
    </w:pPr>
    <w:rPr>
      <w:rFonts w:ascii="Arial" w:eastAsia="SimSun" w:hAnsi="Arial"/>
      <w:sz w:val="22"/>
      <w:lang w:val="en-US" w:eastAsia="en-US"/>
    </w:rPr>
  </w:style>
  <w:style w:type="paragraph" w:customStyle="1" w:styleId="References">
    <w:name w:val="References"/>
    <w:basedOn w:val="Normal"/>
    <w:rsid w:val="006C5AA4"/>
    <w:pPr>
      <w:numPr>
        <w:numId w:val="12"/>
      </w:numPr>
    </w:pPr>
    <w:rPr>
      <w:rFonts w:eastAsia="PMingLiU"/>
      <w:sz w:val="16"/>
      <w:szCs w:val="16"/>
      <w:lang w:val="en-US" w:eastAsia="en-US"/>
    </w:rPr>
  </w:style>
  <w:style w:type="paragraph" w:customStyle="1" w:styleId="Text">
    <w:name w:val="Text"/>
    <w:basedOn w:val="Normal"/>
    <w:rsid w:val="006C5AA4"/>
    <w:pPr>
      <w:widowControl w:val="0"/>
      <w:spacing w:line="252" w:lineRule="auto"/>
      <w:ind w:firstLine="202"/>
    </w:pPr>
    <w:rPr>
      <w:rFonts w:eastAsia="PMingLiU"/>
      <w:lang w:val="en-US" w:eastAsia="en-US"/>
    </w:rPr>
  </w:style>
  <w:style w:type="paragraph" w:customStyle="1" w:styleId="ReferenceHead">
    <w:name w:val="Reference Head"/>
    <w:basedOn w:val="Heading1"/>
    <w:rsid w:val="006C5AA4"/>
    <w:pPr>
      <w:numPr>
        <w:numId w:val="0"/>
      </w:numPr>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rsid w:val="00B5164D"/>
    <w:pPr>
      <w:ind w:firstLine="283"/>
    </w:pPr>
  </w:style>
  <w:style w:type="paragraph" w:customStyle="1" w:styleId="TTPParagraph1st">
    <w:name w:val="TTP Paragraph (1st)"/>
    <w:basedOn w:val="Normal"/>
    <w:next w:val="TTPParagraphothers"/>
    <w:uiPriority w:val="99"/>
    <w:unhideWhenUsed/>
    <w:rsid w:val="00B5164D"/>
    <w:rPr>
      <w:rFonts w:eastAsia="SimSun" w:hint="eastAsia"/>
      <w:lang w:val="en-US" w:eastAsia="en-US"/>
    </w:rPr>
  </w:style>
  <w:style w:type="paragraph" w:customStyle="1" w:styleId="TTPEquation">
    <w:name w:val="TTP Equation"/>
    <w:basedOn w:val="Normal"/>
    <w:next w:val="TTPParagraph1st"/>
    <w:uiPriority w:val="99"/>
    <w:unhideWhenUsed/>
    <w:rsid w:val="00B5164D"/>
    <w:pPr>
      <w:tabs>
        <w:tab w:val="right" w:pos="9923"/>
      </w:tabs>
      <w:spacing w:before="240" w:after="240"/>
      <w:ind w:left="284" w:right="-11"/>
    </w:pPr>
    <w:rPr>
      <w:rFonts w:eastAsia="SimSun" w:hint="eastAsia"/>
      <w:lang w:val="de-DE" w:eastAsia="en-US"/>
    </w:rPr>
  </w:style>
  <w:style w:type="paragraph" w:customStyle="1" w:styleId="TTPSectionHeading">
    <w:name w:val="TTP Section Heading"/>
    <w:basedOn w:val="Normal"/>
    <w:next w:val="TTPParagraph1st"/>
    <w:uiPriority w:val="99"/>
    <w:unhideWhenUsed/>
    <w:rsid w:val="00B5164D"/>
    <w:pPr>
      <w:spacing w:before="360" w:after="120"/>
    </w:pPr>
    <w:rPr>
      <w:rFonts w:eastAsia="SimSun" w:hint="eastAsia"/>
      <w:b/>
      <w:lang w:val="en-US" w:eastAsia="en-US"/>
    </w:rPr>
  </w:style>
  <w:style w:type="paragraph" w:customStyle="1" w:styleId="a">
    <w:name w:val="文献"/>
    <w:basedOn w:val="Normal"/>
    <w:unhideWhenUsed/>
    <w:qFormat/>
    <w:rsid w:val="003F0014"/>
    <w:pPr>
      <w:tabs>
        <w:tab w:val="num" w:pos="432"/>
      </w:tabs>
      <w:autoSpaceDE/>
      <w:autoSpaceDN/>
      <w:spacing w:after="120" w:line="280" w:lineRule="exact"/>
      <w:ind w:left="432" w:hanging="432"/>
    </w:pPr>
    <w:rPr>
      <w:rFonts w:eastAsia="MS Mincho" w:hint="eastAsia"/>
      <w:kern w:val="2"/>
      <w:shd w:val="clear" w:color="auto" w:fill="FFFFFF"/>
      <w:lang w:val="en-US" w:eastAsia="ja-JP"/>
    </w:rPr>
  </w:style>
  <w:style w:type="table" w:styleId="TableGrid">
    <w:name w:val="Table Grid"/>
    <w:basedOn w:val="TableNormal"/>
    <w:uiPriority w:val="59"/>
    <w:rsid w:val="0082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83159"/>
    <w:rPr>
      <w:color w:val="954F72"/>
      <w:u w:val="single"/>
    </w:rPr>
  </w:style>
  <w:style w:type="paragraph" w:customStyle="1" w:styleId="ReferencesText">
    <w:name w:val="References Text"/>
    <w:basedOn w:val="Normal"/>
    <w:rsid w:val="00983159"/>
    <w:pPr>
      <w:autoSpaceDE/>
      <w:autoSpaceDN/>
      <w:spacing w:before="0" w:after="40"/>
      <w:ind w:left="284" w:hanging="284"/>
    </w:pPr>
    <w:rPr>
      <w:sz w:val="18"/>
      <w:szCs w:val="24"/>
      <w:lang w:val="en-US" w:eastAsia="en-US"/>
    </w:rPr>
  </w:style>
  <w:style w:type="character" w:customStyle="1" w:styleId="apple-converted-space">
    <w:name w:val="apple-converted-space"/>
    <w:rsid w:val="00F0630A"/>
  </w:style>
  <w:style w:type="character" w:styleId="Strong">
    <w:name w:val="Strong"/>
    <w:uiPriority w:val="22"/>
    <w:qFormat/>
    <w:rsid w:val="00E74F90"/>
    <w:rPr>
      <w:b/>
      <w:bCs/>
    </w:rPr>
  </w:style>
  <w:style w:type="character" w:styleId="CommentReference">
    <w:name w:val="annotation reference"/>
    <w:uiPriority w:val="99"/>
    <w:rsid w:val="00ED25D3"/>
    <w:rPr>
      <w:sz w:val="16"/>
    </w:rPr>
  </w:style>
  <w:style w:type="paragraph" w:styleId="Bibliography">
    <w:name w:val="Bibliography"/>
    <w:basedOn w:val="Normal"/>
    <w:rsid w:val="00ED25D3"/>
    <w:pPr>
      <w:numPr>
        <w:numId w:val="23"/>
      </w:numPr>
      <w:spacing w:before="0"/>
      <w:jc w:val="left"/>
    </w:pPr>
    <w:rPr>
      <w:sz w:val="20"/>
      <w:lang w:val="en-US" w:eastAsia="tr-TR"/>
    </w:rPr>
  </w:style>
  <w:style w:type="paragraph" w:customStyle="1" w:styleId="abstract0">
    <w:name w:val="abstract"/>
    <w:basedOn w:val="Normal"/>
    <w:rsid w:val="00ED25D3"/>
    <w:pPr>
      <w:spacing w:before="240" w:after="240"/>
      <w:ind w:left="567" w:right="567" w:firstLine="0"/>
      <w:jc w:val="left"/>
    </w:pPr>
    <w:rPr>
      <w:i/>
      <w:sz w:val="20"/>
      <w:lang w:val="en-US" w:eastAsia="tr-TR"/>
    </w:rPr>
  </w:style>
  <w:style w:type="paragraph" w:customStyle="1" w:styleId="Title1">
    <w:name w:val="Title1"/>
    <w:basedOn w:val="Normal"/>
    <w:next w:val="Normal"/>
    <w:rsid w:val="00ED25D3"/>
    <w:pPr>
      <w:spacing w:before="0" w:after="240"/>
      <w:ind w:firstLine="0"/>
      <w:jc w:val="left"/>
    </w:pPr>
    <w:rPr>
      <w:b/>
      <w:sz w:val="32"/>
      <w:lang w:val="sl-SI" w:eastAsia="tr-TR"/>
    </w:rPr>
  </w:style>
  <w:style w:type="paragraph" w:styleId="NormalIndent">
    <w:name w:val="Normal Indent"/>
    <w:basedOn w:val="Normal"/>
    <w:rsid w:val="00ED25D3"/>
    <w:pPr>
      <w:spacing w:before="0"/>
      <w:ind w:firstLine="340"/>
      <w:jc w:val="left"/>
    </w:pPr>
    <w:rPr>
      <w:sz w:val="20"/>
      <w:lang w:val="en-US" w:eastAsia="tr-TR"/>
    </w:rPr>
  </w:style>
  <w:style w:type="paragraph" w:styleId="CommentText">
    <w:name w:val="annotation text"/>
    <w:basedOn w:val="Normal"/>
    <w:link w:val="CommentTextChar"/>
    <w:uiPriority w:val="99"/>
    <w:rsid w:val="00ED25D3"/>
    <w:pPr>
      <w:spacing w:before="0"/>
      <w:ind w:firstLine="0"/>
      <w:jc w:val="left"/>
    </w:pPr>
    <w:rPr>
      <w:sz w:val="20"/>
      <w:lang w:val="en-GB" w:eastAsia="x-none"/>
    </w:rPr>
  </w:style>
  <w:style w:type="character" w:customStyle="1" w:styleId="CommentTextChar">
    <w:name w:val="Comment Text Char"/>
    <w:link w:val="CommentText"/>
    <w:uiPriority w:val="99"/>
    <w:rsid w:val="00ED25D3"/>
    <w:rPr>
      <w:lang w:val="en-GB" w:eastAsia="x-none"/>
    </w:rPr>
  </w:style>
  <w:style w:type="paragraph" w:styleId="DocumentMap">
    <w:name w:val="Document Map"/>
    <w:basedOn w:val="Normal"/>
    <w:link w:val="DocumentMapChar"/>
    <w:rsid w:val="00ED25D3"/>
    <w:pPr>
      <w:shd w:val="clear" w:color="auto" w:fill="000080"/>
      <w:spacing w:before="0"/>
      <w:ind w:firstLine="0"/>
      <w:jc w:val="left"/>
    </w:pPr>
    <w:rPr>
      <w:rFonts w:ascii="Tahoma" w:hAnsi="Tahoma"/>
      <w:sz w:val="20"/>
      <w:lang w:val="x-none" w:eastAsia="tr-TR"/>
    </w:rPr>
  </w:style>
  <w:style w:type="character" w:customStyle="1" w:styleId="DocumentMapChar">
    <w:name w:val="Document Map Char"/>
    <w:link w:val="DocumentMap"/>
    <w:rsid w:val="00ED25D3"/>
    <w:rPr>
      <w:rFonts w:ascii="Tahoma" w:hAnsi="Tahoma"/>
      <w:shd w:val="clear" w:color="auto" w:fill="000080"/>
      <w:lang w:eastAsia="tr-TR"/>
    </w:rPr>
  </w:style>
  <w:style w:type="paragraph" w:customStyle="1" w:styleId="Normal-noindent">
    <w:name w:val="Normal-no indent"/>
    <w:basedOn w:val="Normal"/>
    <w:rsid w:val="00ED25D3"/>
    <w:pPr>
      <w:spacing w:before="0"/>
      <w:ind w:firstLine="0"/>
      <w:jc w:val="left"/>
    </w:pPr>
    <w:rPr>
      <w:sz w:val="20"/>
      <w:lang w:val="en-US" w:eastAsia="tr-TR"/>
    </w:rPr>
  </w:style>
  <w:style w:type="paragraph" w:styleId="BodyText3">
    <w:name w:val="Body Text 3"/>
    <w:basedOn w:val="Normal"/>
    <w:link w:val="BodyText3Char"/>
    <w:rsid w:val="00ED25D3"/>
    <w:pPr>
      <w:spacing w:before="0" w:after="120"/>
      <w:ind w:firstLine="0"/>
      <w:jc w:val="left"/>
    </w:pPr>
    <w:rPr>
      <w:sz w:val="16"/>
      <w:szCs w:val="16"/>
      <w:lang w:val="x-none" w:eastAsia="tr-TR"/>
    </w:rPr>
  </w:style>
  <w:style w:type="character" w:customStyle="1" w:styleId="BodyText3Char">
    <w:name w:val="Body Text 3 Char"/>
    <w:link w:val="BodyText3"/>
    <w:rsid w:val="00ED25D3"/>
    <w:rPr>
      <w:sz w:val="16"/>
      <w:szCs w:val="16"/>
      <w:lang w:eastAsia="tr-TR"/>
    </w:rPr>
  </w:style>
  <w:style w:type="character" w:customStyle="1" w:styleId="mn">
    <w:name w:val="mn"/>
    <w:basedOn w:val="DefaultParagraphFont"/>
    <w:rsid w:val="00ED25D3"/>
  </w:style>
  <w:style w:type="character" w:customStyle="1" w:styleId="xbe">
    <w:name w:val="_xbe"/>
    <w:basedOn w:val="DefaultParagraphFont"/>
    <w:rsid w:val="00ED25D3"/>
  </w:style>
  <w:style w:type="paragraph" w:styleId="BalloonText">
    <w:name w:val="Balloon Text"/>
    <w:basedOn w:val="Normal"/>
    <w:link w:val="BalloonTextChar"/>
    <w:uiPriority w:val="99"/>
    <w:rsid w:val="00ED25D3"/>
    <w:pPr>
      <w:spacing w:before="0"/>
      <w:ind w:firstLine="0"/>
      <w:jc w:val="left"/>
    </w:pPr>
    <w:rPr>
      <w:rFonts w:ascii="Tahoma" w:hAnsi="Tahoma"/>
      <w:sz w:val="16"/>
      <w:szCs w:val="16"/>
      <w:lang w:val="en-GB" w:eastAsia="x-none"/>
    </w:rPr>
  </w:style>
  <w:style w:type="character" w:customStyle="1" w:styleId="BalloonTextChar">
    <w:name w:val="Balloon Text Char"/>
    <w:link w:val="BalloonText"/>
    <w:uiPriority w:val="99"/>
    <w:rsid w:val="00ED25D3"/>
    <w:rPr>
      <w:rFonts w:ascii="Tahoma" w:hAnsi="Tahoma"/>
      <w:sz w:val="16"/>
      <w:szCs w:val="16"/>
      <w:lang w:val="en-GB" w:eastAsia="x-none"/>
    </w:rPr>
  </w:style>
  <w:style w:type="paragraph" w:styleId="NormalWeb">
    <w:name w:val="Normal (Web)"/>
    <w:basedOn w:val="Normal"/>
    <w:uiPriority w:val="99"/>
    <w:unhideWhenUsed/>
    <w:rsid w:val="00ED25D3"/>
    <w:pPr>
      <w:spacing w:before="100" w:beforeAutospacing="1" w:after="100" w:afterAutospacing="1"/>
      <w:ind w:firstLine="0"/>
      <w:jc w:val="left"/>
    </w:pPr>
    <w:rPr>
      <w:szCs w:val="24"/>
      <w:lang w:val="id-ID" w:eastAsia="id-ID"/>
    </w:rPr>
  </w:style>
  <w:style w:type="character" w:customStyle="1" w:styleId="mwe-math-mathml-inline">
    <w:name w:val="mwe-math-mathml-inline"/>
    <w:basedOn w:val="DefaultParagraphFont"/>
    <w:rsid w:val="00ED25D3"/>
  </w:style>
  <w:style w:type="character" w:customStyle="1" w:styleId="mi">
    <w:name w:val="mi"/>
    <w:basedOn w:val="DefaultParagraphFont"/>
    <w:rsid w:val="00ED25D3"/>
  </w:style>
  <w:style w:type="character" w:customStyle="1" w:styleId="mo">
    <w:name w:val="mo"/>
    <w:basedOn w:val="DefaultParagraphFont"/>
    <w:rsid w:val="00ED25D3"/>
  </w:style>
  <w:style w:type="paragraph" w:styleId="CommentSubject">
    <w:name w:val="annotation subject"/>
    <w:basedOn w:val="CommentText"/>
    <w:next w:val="CommentText"/>
    <w:link w:val="CommentSubjectChar"/>
    <w:uiPriority w:val="99"/>
    <w:unhideWhenUsed/>
    <w:rsid w:val="00ED25D3"/>
    <w:pPr>
      <w:spacing w:after="200" w:line="276" w:lineRule="auto"/>
    </w:pPr>
    <w:rPr>
      <w:rFonts w:ascii="Calibri" w:hAnsi="Calibri"/>
      <w:b/>
      <w:bCs/>
      <w:lang w:val="id-ID" w:eastAsia="id-ID"/>
    </w:rPr>
  </w:style>
  <w:style w:type="character" w:customStyle="1" w:styleId="CommentSubjectChar">
    <w:name w:val="Comment Subject Char"/>
    <w:link w:val="CommentSubject"/>
    <w:uiPriority w:val="99"/>
    <w:rsid w:val="00ED25D3"/>
    <w:rPr>
      <w:rFonts w:ascii="Calibri" w:hAnsi="Calibri"/>
      <w:b/>
      <w:bCs/>
      <w:lang w:val="id-ID" w:eastAsia="id-ID"/>
    </w:rPr>
  </w:style>
  <w:style w:type="character" w:customStyle="1" w:styleId="fullpost">
    <w:name w:val="fullpost"/>
    <w:basedOn w:val="DefaultParagraphFont"/>
    <w:rsid w:val="00ED25D3"/>
  </w:style>
  <w:style w:type="paragraph" w:styleId="Revision">
    <w:name w:val="Revision"/>
    <w:hidden/>
    <w:uiPriority w:val="99"/>
    <w:semiHidden/>
    <w:rsid w:val="00ED25D3"/>
    <w:rPr>
      <w:lang w:val="en-GB"/>
    </w:rPr>
  </w:style>
  <w:style w:type="paragraph" w:customStyle="1" w:styleId="Default">
    <w:name w:val="Default"/>
    <w:rsid w:val="00ED25D3"/>
    <w:pPr>
      <w:autoSpaceDE w:val="0"/>
      <w:autoSpaceDN w:val="0"/>
      <w:adjustRightInd w:val="0"/>
    </w:pPr>
    <w:rPr>
      <w:rFonts w:ascii="Cambria Math" w:hAnsi="Cambria Math" w:cs="Cambria Math"/>
      <w:color w:val="000000"/>
      <w:sz w:val="24"/>
      <w:szCs w:val="24"/>
    </w:rPr>
  </w:style>
  <w:style w:type="paragraph" w:customStyle="1" w:styleId="a0">
    <w:name w:val="a"/>
    <w:basedOn w:val="Normal"/>
    <w:link w:val="aChar"/>
    <w:qFormat/>
    <w:rsid w:val="00ED25D3"/>
    <w:pPr>
      <w:autoSpaceDE/>
      <w:autoSpaceDN/>
      <w:spacing w:before="0" w:line="252" w:lineRule="auto"/>
      <w:ind w:firstLine="204"/>
    </w:pPr>
    <w:rPr>
      <w:rFonts w:eastAsia="Calibri"/>
      <w:sz w:val="20"/>
      <w:lang w:val="x-none" w:eastAsia="x-none"/>
    </w:rPr>
  </w:style>
  <w:style w:type="character" w:customStyle="1" w:styleId="aChar">
    <w:name w:val="a Char"/>
    <w:link w:val="a0"/>
    <w:rsid w:val="00ED25D3"/>
    <w:rPr>
      <w:rFonts w:eastAsia="Calibri"/>
      <w:lang w:eastAsia="x-none"/>
    </w:rPr>
  </w:style>
  <w:style w:type="paragraph" w:styleId="ListParagraph">
    <w:name w:val="List Paragraph"/>
    <w:basedOn w:val="Normal"/>
    <w:uiPriority w:val="34"/>
    <w:qFormat/>
    <w:rsid w:val="00ED25D3"/>
    <w:pPr>
      <w:autoSpaceDE/>
      <w:autoSpaceDN/>
      <w:spacing w:before="20"/>
      <w:ind w:left="720" w:firstLine="202"/>
      <w:contextualSpacing/>
    </w:pPr>
    <w:rPr>
      <w:rFonts w:ascii="Calibri" w:eastAsia="Calibri" w:hAnsi="Calibri"/>
      <w:sz w:val="22"/>
      <w:szCs w:val="22"/>
      <w:lang w:val="en-US" w:eastAsia="tr-TR"/>
    </w:rPr>
  </w:style>
  <w:style w:type="character" w:customStyle="1" w:styleId="FooterChar">
    <w:name w:val="Footer Char"/>
    <w:link w:val="Footer"/>
    <w:uiPriority w:val="99"/>
    <w:rsid w:val="00AD2900"/>
    <w:rPr>
      <w:sz w:val="22"/>
      <w:szCs w:val="22"/>
      <w:lang w:val="en-US" w:eastAsia="cs-CZ"/>
    </w:rPr>
  </w:style>
  <w:style w:type="paragraph" w:customStyle="1" w:styleId="TableParagraph">
    <w:name w:val="Table Paragraph"/>
    <w:basedOn w:val="Normal"/>
    <w:uiPriority w:val="1"/>
    <w:qFormat/>
    <w:rsid w:val="00AB293F"/>
    <w:pPr>
      <w:widowControl w:val="0"/>
      <w:spacing w:before="0"/>
      <w:ind w:firstLine="0"/>
      <w:jc w:val="right"/>
    </w:pPr>
    <w:rPr>
      <w:sz w:val="22"/>
      <w:szCs w:val="22"/>
      <w:lang w:val="id" w:eastAsia="en-US"/>
    </w:rPr>
  </w:style>
  <w:style w:type="character" w:styleId="UnresolvedMention">
    <w:name w:val="Unresolved Mention"/>
    <w:basedOn w:val="DefaultParagraphFont"/>
    <w:uiPriority w:val="99"/>
    <w:semiHidden/>
    <w:unhideWhenUsed/>
    <w:rsid w:val="00AB293F"/>
    <w:rPr>
      <w:color w:val="605E5C"/>
      <w:shd w:val="clear" w:color="auto" w:fill="E1DFDD"/>
    </w:rPr>
  </w:style>
  <w:style w:type="paragraph" w:customStyle="1" w:styleId="p1">
    <w:name w:val="p1"/>
    <w:basedOn w:val="Normal"/>
    <w:rsid w:val="00AB293F"/>
    <w:pPr>
      <w:autoSpaceDE/>
      <w:autoSpaceDN/>
      <w:spacing w:before="0"/>
      <w:ind w:firstLine="0"/>
      <w:jc w:val="left"/>
    </w:pPr>
    <w:rPr>
      <w:color w:val="000000"/>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538658355">
      <w:bodyDiv w:val="1"/>
      <w:marLeft w:val="0"/>
      <w:marRight w:val="0"/>
      <w:marTop w:val="0"/>
      <w:marBottom w:val="0"/>
      <w:divBdr>
        <w:top w:val="none" w:sz="0" w:space="0" w:color="auto"/>
        <w:left w:val="none" w:sz="0" w:space="0" w:color="auto"/>
        <w:bottom w:val="none" w:sz="0" w:space="0" w:color="auto"/>
        <w:right w:val="none" w:sz="0" w:space="0" w:color="auto"/>
      </w:divBdr>
      <w:divsChild>
        <w:div w:id="1727221451">
          <w:marLeft w:val="0"/>
          <w:marRight w:val="0"/>
          <w:marTop w:val="0"/>
          <w:marBottom w:val="0"/>
          <w:divBdr>
            <w:top w:val="none" w:sz="0" w:space="0" w:color="auto"/>
            <w:left w:val="none" w:sz="0" w:space="0" w:color="auto"/>
            <w:bottom w:val="none" w:sz="0" w:space="0" w:color="auto"/>
            <w:right w:val="none" w:sz="0" w:space="0" w:color="auto"/>
          </w:divBdr>
          <w:divsChild>
            <w:div w:id="6047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5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iani@universitasbumigora.ac.id" TargetMode="External"/><Relationship Id="rId13" Type="http://schemas.openxmlformats.org/officeDocument/2006/relationships/header" Target="header2.xml"/><Relationship Id="rId18" Type="http://schemas.openxmlformats.org/officeDocument/2006/relationships/hyperlink" Target="https://doi.org/10.1016/j.mar.2013.07.003" TargetMode="External"/><Relationship Id="rId26" Type="http://schemas.openxmlformats.org/officeDocument/2006/relationships/hyperlink" Target="https://doi.org/10.1108/JKM-12-2012-0380" TargetMode="External"/><Relationship Id="rId3" Type="http://schemas.openxmlformats.org/officeDocument/2006/relationships/styles" Target="styles.xml"/><Relationship Id="rId21" Type="http://schemas.openxmlformats.org/officeDocument/2006/relationships/hyperlink" Target="https://doi.org/10.1002/job.236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1016/j.im.2016.10.005" TargetMode="External"/><Relationship Id="rId25" Type="http://schemas.openxmlformats.org/officeDocument/2006/relationships/hyperlink" Target="https://doi.org/10.1108/JMD-09-2015-0134"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0.1108/CMS-01-2016-0006" TargetMode="External"/><Relationship Id="rId29" Type="http://schemas.openxmlformats.org/officeDocument/2006/relationships/hyperlink" Target="https://doi.org/10.1108/LODJ-10-2018-03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fel@universitasbumigora.ac.id" TargetMode="External"/><Relationship Id="rId24" Type="http://schemas.openxmlformats.org/officeDocument/2006/relationships/hyperlink" Target="https://doi.org/10.1108/1367327101101556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scopus.com/inward/record.url?scp=28744434462&amp;partnerID=8YFLogxK%0Ahttps://www.scopus.com/record/pubmetrics.uri?eid=2-s2.0" TargetMode="External"/><Relationship Id="rId28" Type="http://schemas.openxmlformats.org/officeDocument/2006/relationships/hyperlink" Target="https://doi.org/10.1177/0149206311412192" TargetMode="External"/><Relationship Id="rId10" Type="http://schemas.openxmlformats.org/officeDocument/2006/relationships/hyperlink" Target="mailto:ayu.aryani@universitasbumigora.ac.id" TargetMode="External"/><Relationship Id="rId19" Type="http://schemas.openxmlformats.org/officeDocument/2006/relationships/hyperlink" Target="https://doi.org/10.1111/j.146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fian@universitasbumigora.ac.id" TargetMode="External"/><Relationship Id="rId14" Type="http://schemas.openxmlformats.org/officeDocument/2006/relationships/footer" Target="footer1.xml"/><Relationship Id="rId22" Type="http://schemas.openxmlformats.org/officeDocument/2006/relationships/hyperlink" Target="https://doi.org/10.1016/j.ijinfomgt.2012.10.009" TargetMode="External"/><Relationship Id="rId27" Type="http://schemas.openxmlformats.org/officeDocument/2006/relationships/hyperlink" Target="https://doi.org/10.1016/j.sbspro.2014.11.134" TargetMode="External"/><Relationship Id="rId30" Type="http://schemas.openxmlformats.org/officeDocument/2006/relationships/hyperlink" Target="https://doi.org/10.1108/MD-02-2020-01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penjournal.unpam.ac.id/index.php/EA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penjournal.unpam.ac.id/index.php/EA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C8C28-84F6-1C4F-B28D-A026784E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16</Pages>
  <Words>7676</Words>
  <Characters>43759</Characters>
  <Application>Microsoft Office Word</Application>
  <DocSecurity>0</DocSecurity>
  <Lines>364</Lines>
  <Paragraphs>102</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Paper Title</vt:lpstr>
      <vt:lpstr>Paper Title</vt:lpstr>
      <vt:lpstr>Paper Title</vt:lpstr>
    </vt:vector>
  </TitlesOfParts>
  <Company>Fakulta managementu JU</Company>
  <LinksUpToDate>false</LinksUpToDate>
  <CharactersWithSpaces>51333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Jan Plešingr</dc:creator>
  <cp:lastModifiedBy>Puspita Handayani</cp:lastModifiedBy>
  <cp:revision>14</cp:revision>
  <cp:lastPrinted>2026-05-21T15:01:00Z</cp:lastPrinted>
  <dcterms:created xsi:type="dcterms:W3CDTF">2026-04-29T22:48:00Z</dcterms:created>
  <dcterms:modified xsi:type="dcterms:W3CDTF">2026-05-21T15:01:00Z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0f4fe30e-cb5b-4dab-a9b5-bf17a84438d0</vt:lpwstr>
  </property>
</Properties>
</file>