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43A4" w14:textId="77777777" w:rsidR="00980EDA" w:rsidRDefault="00000000">
      <w:r>
        <w:rPr>
          <w:noProof/>
        </w:rPr>
        <w:drawing>
          <wp:inline distT="0" distB="0" distL="0" distR="0" wp14:anchorId="7AEAE7FD" wp14:editId="20D2D4D1">
            <wp:extent cx="5731510" cy="96012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510" cy="960120"/>
                    </a:xfrm>
                    <a:prstGeom prst="rect">
                      <a:avLst/>
                    </a:prstGeom>
                    <a:ln/>
                  </pic:spPr>
                </pic:pic>
              </a:graphicData>
            </a:graphic>
          </wp:inline>
        </w:drawing>
      </w:r>
    </w:p>
    <w:p w14:paraId="2114D49B" w14:textId="77777777" w:rsidR="00980EDA" w:rsidRDefault="00000000">
      <w:pPr>
        <w:jc w:val="center"/>
      </w:pPr>
      <w:r>
        <w:rPr>
          <w:b/>
          <w:bCs/>
        </w:rPr>
        <w:t>International Conference On The State, Law, Politics &amp; Democracy (ICON-SLPD)</w:t>
      </w:r>
    </w:p>
    <w:p w14:paraId="372D099D" w14:textId="77777777" w:rsidR="00980EDA" w:rsidRDefault="00000000">
      <w:pPr>
        <w:jc w:val="center"/>
      </w:pPr>
      <w:r>
        <w:rPr>
          <w:b/>
          <w:bCs/>
        </w:rPr>
        <w:t>Conference Proceedings 2025</w:t>
      </w:r>
    </w:p>
    <w:p w14:paraId="55D69491" w14:textId="77777777" w:rsidR="00980EDA" w:rsidRDefault="00000000">
      <w:pPr>
        <w:spacing w:line="240" w:lineRule="auto"/>
        <w:jc w:val="center"/>
        <w:rPr>
          <w:b/>
          <w:bCs/>
        </w:rPr>
      </w:pPr>
      <w:r>
        <w:rPr>
          <w:b/>
          <w:bCs/>
          <w:sz w:val="28"/>
          <w:szCs w:val="28"/>
        </w:rPr>
        <w:t>The Urgency of Registering Marriages, Births, and Divorces for the Legal Protection of Families: A Community Service Study among PKH Beneficiaries in Ciruas Subdistrict, Serang</w:t>
      </w:r>
    </w:p>
    <w:p w14:paraId="240E51EC" w14:textId="77777777" w:rsidR="00980EDA" w:rsidRDefault="00980EDA">
      <w:pPr>
        <w:jc w:val="center"/>
        <w:rPr>
          <w:sz w:val="20"/>
          <w:szCs w:val="20"/>
        </w:rPr>
      </w:pPr>
    </w:p>
    <w:p w14:paraId="54699D01" w14:textId="77777777" w:rsidR="00980EDA" w:rsidRDefault="00000000">
      <w:pPr>
        <w:spacing w:line="240" w:lineRule="auto"/>
        <w:jc w:val="center"/>
      </w:pPr>
      <w:r>
        <w:rPr>
          <w:sz w:val="20"/>
          <w:szCs w:val="20"/>
        </w:rPr>
        <w:t>Dr. Elvira, S.H., M.H.,</w:t>
      </w:r>
      <w:r>
        <w:rPr>
          <w:sz w:val="20"/>
          <w:szCs w:val="20"/>
          <w:vertAlign w:val="superscript"/>
        </w:rPr>
        <w:t>a</w:t>
      </w:r>
      <w:r>
        <w:rPr>
          <w:sz w:val="20"/>
          <w:szCs w:val="20"/>
        </w:rPr>
        <w:t xml:space="preserve"> Rendi Tanamo,</w:t>
      </w:r>
      <w:r>
        <w:rPr>
          <w:sz w:val="20"/>
          <w:szCs w:val="20"/>
          <w:vertAlign w:val="superscript"/>
        </w:rPr>
        <w:t>b</w:t>
      </w:r>
      <w:r>
        <w:rPr>
          <w:sz w:val="20"/>
          <w:szCs w:val="20"/>
        </w:rPr>
        <w:t xml:space="preserve"> Renandi Baim Yustiaji,</w:t>
      </w:r>
      <w:r>
        <w:rPr>
          <w:sz w:val="20"/>
          <w:szCs w:val="20"/>
          <w:vertAlign w:val="superscript"/>
        </w:rPr>
        <w:t>c</w:t>
      </w:r>
      <w:r>
        <w:rPr>
          <w:sz w:val="20"/>
          <w:szCs w:val="20"/>
        </w:rPr>
        <w:t xml:space="preserve"> Rini Astuti,</w:t>
      </w:r>
      <w:r>
        <w:rPr>
          <w:sz w:val="20"/>
          <w:szCs w:val="20"/>
          <w:vertAlign w:val="superscript"/>
        </w:rPr>
        <w:t>d</w:t>
      </w:r>
      <w:r>
        <w:rPr>
          <w:sz w:val="20"/>
          <w:szCs w:val="20"/>
        </w:rPr>
        <w:t xml:space="preserve"> Samsul Idhal,</w:t>
      </w:r>
      <w:r>
        <w:rPr>
          <w:sz w:val="20"/>
          <w:szCs w:val="20"/>
          <w:vertAlign w:val="superscript"/>
        </w:rPr>
        <w:t>e</w:t>
      </w:r>
      <w:r>
        <w:rPr>
          <w:sz w:val="20"/>
          <w:szCs w:val="20"/>
        </w:rPr>
        <w:t xml:space="preserve"> Hendro Priono</w:t>
      </w:r>
      <w:r>
        <w:rPr>
          <w:sz w:val="20"/>
          <w:szCs w:val="20"/>
          <w:vertAlign w:val="superscript"/>
        </w:rPr>
        <w:t>f</w:t>
      </w:r>
    </w:p>
    <w:p w14:paraId="72B91A22" w14:textId="77777777" w:rsidR="00980EDA" w:rsidRDefault="00000000">
      <w:pPr>
        <w:spacing w:line="240" w:lineRule="auto"/>
        <w:jc w:val="center"/>
        <w:rPr>
          <w:sz w:val="20"/>
          <w:szCs w:val="20"/>
        </w:rPr>
      </w:pPr>
      <w:r>
        <w:rPr>
          <w:sz w:val="20"/>
          <w:szCs w:val="20"/>
          <w:vertAlign w:val="superscript"/>
        </w:rPr>
        <w:t xml:space="preserve">a </w:t>
      </w:r>
      <w:r>
        <w:rPr>
          <w:sz w:val="20"/>
          <w:szCs w:val="20"/>
        </w:rPr>
        <w:t>Postgraduate Lecturer, Master of Law Program, Universitas Pamulang, Tangsel</w:t>
      </w:r>
    </w:p>
    <w:p w14:paraId="422C8456" w14:textId="77777777" w:rsidR="00980EDA" w:rsidRDefault="00000000">
      <w:pPr>
        <w:spacing w:line="240" w:lineRule="auto"/>
        <w:jc w:val="center"/>
        <w:rPr>
          <w:sz w:val="20"/>
          <w:szCs w:val="20"/>
        </w:rPr>
      </w:pPr>
      <w:r>
        <w:rPr>
          <w:sz w:val="20"/>
          <w:szCs w:val="20"/>
          <w:vertAlign w:val="superscript"/>
        </w:rPr>
        <w:t xml:space="preserve">bcdef </w:t>
      </w:r>
      <w:r>
        <w:rPr>
          <w:sz w:val="20"/>
          <w:szCs w:val="20"/>
        </w:rPr>
        <w:t xml:space="preserve">Postgraduate Students, Master of Law Program, Universitas Pamulang. Tangsel, email: </w:t>
      </w:r>
      <w:hyperlink r:id="rId8">
        <w:r>
          <w:rPr>
            <w:color w:val="0563C1"/>
            <w:sz w:val="20"/>
            <w:szCs w:val="20"/>
            <w:u w:val="single"/>
          </w:rPr>
          <w:t>renditanamo@gmail.com</w:t>
        </w:r>
      </w:hyperlink>
    </w:p>
    <w:p w14:paraId="40DDA5FE" w14:textId="77777777" w:rsidR="00980EDA" w:rsidRDefault="00980EDA">
      <w:pPr>
        <w:spacing w:line="240" w:lineRule="auto"/>
        <w:jc w:val="center"/>
      </w:pPr>
    </w:p>
    <w:tbl>
      <w:tblPr>
        <w:tblStyle w:val="a"/>
        <w:tblW w:w="8912" w:type="dxa"/>
        <w:tblInd w:w="108" w:type="dxa"/>
        <w:tblLayout w:type="fixed"/>
        <w:tblLook w:val="0400" w:firstRow="0" w:lastRow="0" w:firstColumn="0" w:lastColumn="0" w:noHBand="0" w:noVBand="1"/>
      </w:tblPr>
      <w:tblGrid>
        <w:gridCol w:w="2273"/>
        <w:gridCol w:w="6639"/>
      </w:tblGrid>
      <w:tr w:rsidR="00980EDA" w14:paraId="550ABB00" w14:textId="77777777">
        <w:tc>
          <w:tcPr>
            <w:tcW w:w="2273" w:type="dxa"/>
            <w:tcBorders>
              <w:top w:val="single" w:sz="8" w:space="0" w:color="000000"/>
              <w:left w:val="single" w:sz="4" w:space="0" w:color="000000"/>
              <w:bottom w:val="single" w:sz="8" w:space="0" w:color="000000"/>
              <w:right w:val="single" w:sz="4" w:space="0" w:color="000000"/>
            </w:tcBorders>
            <w:tcMar>
              <w:top w:w="0" w:type="dxa"/>
              <w:left w:w="116" w:type="dxa"/>
              <w:bottom w:w="0" w:type="dxa"/>
              <w:right w:w="116" w:type="dxa"/>
            </w:tcMar>
          </w:tcPr>
          <w:p w14:paraId="1235D772" w14:textId="77777777" w:rsidR="00980EDA" w:rsidRDefault="00000000">
            <w:r>
              <w:rPr>
                <w:b/>
                <w:bCs/>
              </w:rPr>
              <w:t>Article</w:t>
            </w:r>
          </w:p>
        </w:tc>
        <w:tc>
          <w:tcPr>
            <w:tcW w:w="6639" w:type="dxa"/>
            <w:tcBorders>
              <w:top w:val="single" w:sz="8" w:space="0" w:color="000000"/>
              <w:left w:val="single" w:sz="4" w:space="0" w:color="000000"/>
              <w:bottom w:val="single" w:sz="8" w:space="0" w:color="000000"/>
              <w:right w:val="single" w:sz="4" w:space="0" w:color="000000"/>
            </w:tcBorders>
            <w:tcMar>
              <w:top w:w="0" w:type="dxa"/>
              <w:left w:w="116" w:type="dxa"/>
              <w:bottom w:w="0" w:type="dxa"/>
              <w:right w:w="116" w:type="dxa"/>
            </w:tcMar>
          </w:tcPr>
          <w:p w14:paraId="3696DF8B" w14:textId="77777777" w:rsidR="00980EDA" w:rsidRDefault="00000000">
            <w:r>
              <w:rPr>
                <w:b/>
                <w:bCs/>
              </w:rPr>
              <w:t>Abstract</w:t>
            </w:r>
          </w:p>
        </w:tc>
      </w:tr>
      <w:tr w:rsidR="00980EDA" w14:paraId="471AA76E" w14:textId="77777777">
        <w:trPr>
          <w:trHeight w:val="4646"/>
        </w:trPr>
        <w:tc>
          <w:tcPr>
            <w:tcW w:w="2273" w:type="dxa"/>
            <w:tcBorders>
              <w:top w:val="single" w:sz="8" w:space="0" w:color="000000"/>
              <w:left w:val="single" w:sz="4" w:space="0" w:color="000000"/>
              <w:bottom w:val="single" w:sz="8" w:space="0" w:color="000000"/>
              <w:right w:val="single" w:sz="4" w:space="0" w:color="000000"/>
            </w:tcBorders>
            <w:shd w:val="clear" w:color="auto" w:fill="D9D9D9"/>
            <w:tcMar>
              <w:top w:w="0" w:type="dxa"/>
              <w:left w:w="116" w:type="dxa"/>
              <w:bottom w:w="0" w:type="dxa"/>
              <w:right w:w="116" w:type="dxa"/>
            </w:tcMar>
          </w:tcPr>
          <w:p w14:paraId="17B4D13C" w14:textId="77777777" w:rsidR="00980EDA" w:rsidRDefault="00000000">
            <w:pPr>
              <w:rPr>
                <w:sz w:val="20"/>
                <w:szCs w:val="20"/>
              </w:rPr>
            </w:pPr>
            <w:r>
              <w:rPr>
                <w:i/>
                <w:iCs/>
                <w:sz w:val="20"/>
                <w:szCs w:val="20"/>
              </w:rPr>
              <w:t xml:space="preserve">Received:   </w:t>
            </w:r>
          </w:p>
          <w:p w14:paraId="0ECBA34C" w14:textId="77777777" w:rsidR="00980EDA" w:rsidRDefault="00000000">
            <w:pPr>
              <w:rPr>
                <w:sz w:val="20"/>
                <w:szCs w:val="20"/>
              </w:rPr>
            </w:pPr>
            <w:r>
              <w:rPr>
                <w:i/>
                <w:iCs/>
                <w:sz w:val="20"/>
                <w:szCs w:val="20"/>
              </w:rPr>
              <w:t>Reviewed:  </w:t>
            </w:r>
          </w:p>
          <w:p w14:paraId="35444C70" w14:textId="77777777" w:rsidR="00980EDA" w:rsidRDefault="00000000">
            <w:pPr>
              <w:rPr>
                <w:sz w:val="20"/>
                <w:szCs w:val="20"/>
              </w:rPr>
            </w:pPr>
            <w:r>
              <w:rPr>
                <w:i/>
                <w:iCs/>
                <w:sz w:val="20"/>
                <w:szCs w:val="20"/>
              </w:rPr>
              <w:t>Accepted:  </w:t>
            </w:r>
          </w:p>
          <w:p w14:paraId="18353683" w14:textId="77777777" w:rsidR="00980EDA" w:rsidRDefault="00000000">
            <w:r>
              <w:rPr>
                <w:i/>
                <w:iCs/>
                <w:sz w:val="20"/>
                <w:szCs w:val="20"/>
              </w:rPr>
              <w:t xml:space="preserve">Published: </w:t>
            </w:r>
          </w:p>
        </w:tc>
        <w:tc>
          <w:tcPr>
            <w:tcW w:w="6639" w:type="dxa"/>
            <w:tcBorders>
              <w:top w:val="single" w:sz="8" w:space="0" w:color="000000"/>
              <w:left w:val="single" w:sz="4" w:space="0" w:color="000000"/>
              <w:bottom w:val="single" w:sz="8" w:space="0" w:color="000000"/>
              <w:right w:val="single" w:sz="4" w:space="0" w:color="000000"/>
            </w:tcBorders>
            <w:tcMar>
              <w:top w:w="0" w:type="dxa"/>
              <w:left w:w="116" w:type="dxa"/>
              <w:bottom w:w="0" w:type="dxa"/>
              <w:right w:w="116" w:type="dxa"/>
            </w:tcMar>
          </w:tcPr>
          <w:p w14:paraId="4C79008D" w14:textId="77777777" w:rsidR="00980EDA" w:rsidRDefault="00000000">
            <w:pPr>
              <w:spacing w:line="240" w:lineRule="auto"/>
            </w:pPr>
            <w:r w:rsidRPr="00D8173E">
              <w:rPr>
                <w:sz w:val="22"/>
                <w:szCs w:val="22"/>
              </w:rPr>
              <w:t>The registration of key family events, namely marriage, birth, and divorce, plays a fundamental role in providing legal certainty and protection for family members, particularly women and children. This community service program (Pengabdian Kepada Masyarakat / PKM) was implemented in Ciruas Subdistrict, Serang Regency, in response to the low level of legal literacy among beneficiaries of the Program Keluarga Harapan (PKH). The program aimed to enhance public understanding of the urgency of registering family legal events as the basis for safeguarding civil rights. Methods employed included legal outreach (community legal education), group discussions, and case simulations. The program’s outcomes indicate improved participant comprehension of the legal foundations for event registration and of the legal consequences that follow when registration is neglected. This article discusses the urgency of registering family events in light of statutory provisions and academic literature, and links those legal frameworks to the empirical findings of the PKM. In conclusion, the registration of family legal events constitutes a primary instrument for protecting family legal rights, especially for vulnerable population groups</w:t>
            </w:r>
            <w:r>
              <w:t>.</w:t>
            </w:r>
          </w:p>
          <w:p w14:paraId="59170D91" w14:textId="77777777" w:rsidR="00980EDA" w:rsidRDefault="00980EDA">
            <w:pPr>
              <w:spacing w:line="240" w:lineRule="auto"/>
            </w:pPr>
          </w:p>
          <w:p w14:paraId="6470668A" w14:textId="77777777" w:rsidR="00980EDA" w:rsidRDefault="00000000">
            <w:pPr>
              <w:spacing w:line="240" w:lineRule="auto"/>
            </w:pPr>
            <w:r>
              <w:rPr>
                <w:b/>
                <w:bCs/>
              </w:rPr>
              <w:t>Keywords</w:t>
            </w:r>
            <w:r>
              <w:t xml:space="preserve">: </w:t>
            </w:r>
            <w:r>
              <w:rPr>
                <w:i/>
                <w:iCs/>
              </w:rPr>
              <w:t>marriage registration; birth certificate; legal protection; family law; PKH beneficiaries</w:t>
            </w:r>
          </w:p>
        </w:tc>
      </w:tr>
    </w:tbl>
    <w:p w14:paraId="649604FE" w14:textId="77777777" w:rsidR="00980EDA" w:rsidRDefault="00980EDA">
      <w:pPr>
        <w:ind w:left="720"/>
        <w:rPr>
          <w:b/>
          <w:bCs/>
        </w:rPr>
      </w:pPr>
    </w:p>
    <w:p w14:paraId="6A4A82E6" w14:textId="77777777" w:rsidR="00980EDA" w:rsidRDefault="00000000">
      <w:pPr>
        <w:numPr>
          <w:ilvl w:val="0"/>
          <w:numId w:val="1"/>
        </w:numPr>
        <w:ind w:left="426" w:hanging="426"/>
        <w:rPr>
          <w:b/>
          <w:bCs/>
        </w:rPr>
      </w:pPr>
      <w:r>
        <w:rPr>
          <w:b/>
          <w:bCs/>
        </w:rPr>
        <w:t>INTRODUCTION</w:t>
      </w:r>
    </w:p>
    <w:p w14:paraId="478CB0B5" w14:textId="77777777" w:rsidR="00980EDA" w:rsidRDefault="00000000">
      <w:pPr>
        <w:ind w:firstLine="426"/>
      </w:pPr>
      <w:r>
        <w:t xml:space="preserve">The registration of significant family events constitutes a cornerstone of the Indonesian civil law system, since official instruments such as marriage certificates, birth certificates, and divorce decrees determine an individual’s legal status within society. For vulnerable groups, such as beneficiaries of the Program Keluarga Harapan (PKH), inability to access registration services generates substantial legal and social vulnerability. The PKM proposal underpinning </w:t>
      </w:r>
      <w:r>
        <w:lastRenderedPageBreak/>
        <w:t>this program identified that a majority of PKH beneficiaries in Ciruas Subdistrict lack adequate understanding of the legal evidentiary value associated with marriage, birth, and divorce registration.</w:t>
      </w:r>
    </w:p>
    <w:p w14:paraId="7B63F2F5" w14:textId="77777777" w:rsidR="00980EDA" w:rsidRDefault="00000000">
      <w:pPr>
        <w:ind w:firstLine="426"/>
      </w:pPr>
      <w:r>
        <w:t>Prior scholarship demonstrates that unregistered marriages can substantially weaken the legal position of women and children, given the lack of formal proof necessary to claim civil entitlements such as maintenance, inheritance, and custody (Sukiati &amp; Bancin, 2020). Moreover, children who lack birth certificates face barriers in accessing education, social protection programs, and formal legal recognition of identity (Aziz, 2018). Similarly, divorces that are not judicially determined create legal uncertainty regarding children’s status and the division of matrimonial property (Amajihono, 2018).</w:t>
      </w:r>
    </w:p>
    <w:p w14:paraId="446C8DBA" w14:textId="77777777" w:rsidR="00980EDA" w:rsidRDefault="00000000">
      <w:pPr>
        <w:ind w:firstLine="426"/>
      </w:pPr>
      <w:r>
        <w:t>In light of these complexities, the PKM subtheme “The Importance of Recording Marriages, Births, and Divorces for the Legal Protection of Families” was developed to provide accessible, contextually relevant legal education to PKH beneficiaries. This article analyzes the urgency of family-event registration from the perspective of national law and examines the outcomes of the PKM implementation.</w:t>
      </w:r>
    </w:p>
    <w:p w14:paraId="1385E1A1" w14:textId="77777777" w:rsidR="00980EDA" w:rsidRDefault="00980EDA"/>
    <w:p w14:paraId="122D94CA" w14:textId="77777777" w:rsidR="00980EDA" w:rsidRDefault="00000000">
      <w:pPr>
        <w:numPr>
          <w:ilvl w:val="0"/>
          <w:numId w:val="8"/>
        </w:numPr>
        <w:ind w:left="426" w:hanging="426"/>
        <w:rPr>
          <w:b/>
          <w:bCs/>
        </w:rPr>
      </w:pPr>
      <w:r>
        <w:rPr>
          <w:b/>
          <w:bCs/>
        </w:rPr>
        <w:t>MATERIALS AND METHODS</w:t>
      </w:r>
    </w:p>
    <w:p w14:paraId="79B1BECE" w14:textId="77777777" w:rsidR="00980EDA" w:rsidRDefault="00000000">
      <w:pPr>
        <w:ind w:firstLine="426"/>
      </w:pPr>
      <w:r>
        <w:t>This PKM project employed a community legal-education approach grounded in legal literacy and participatory engagement. The principal methods comprised:</w:t>
      </w:r>
    </w:p>
    <w:p w14:paraId="32F1D23B" w14:textId="77777777" w:rsidR="00980EDA" w:rsidRDefault="00000000">
      <w:pPr>
        <w:numPr>
          <w:ilvl w:val="0"/>
          <w:numId w:val="11"/>
        </w:numPr>
        <w:pBdr>
          <w:top w:val="nil"/>
          <w:left w:val="nil"/>
          <w:bottom w:val="nil"/>
          <w:right w:val="nil"/>
          <w:between w:val="nil"/>
        </w:pBdr>
        <w:ind w:hanging="294"/>
      </w:pPr>
      <w:r>
        <w:rPr>
          <w:color w:val="000000"/>
        </w:rPr>
        <w:t>Legal lectures: delivered to provide foundational understanding of the legal framework governing registration of family events.</w:t>
      </w:r>
    </w:p>
    <w:p w14:paraId="021B02C5" w14:textId="77777777" w:rsidR="00980EDA" w:rsidRDefault="00000000">
      <w:pPr>
        <w:numPr>
          <w:ilvl w:val="0"/>
          <w:numId w:val="11"/>
        </w:numPr>
        <w:pBdr>
          <w:top w:val="nil"/>
          <w:left w:val="nil"/>
          <w:bottom w:val="nil"/>
          <w:right w:val="nil"/>
          <w:between w:val="nil"/>
        </w:pBdr>
        <w:ind w:hanging="294"/>
      </w:pPr>
      <w:r>
        <w:rPr>
          <w:color w:val="000000"/>
        </w:rPr>
        <w:t>Group discussions (FGDs): organized to elicit community experiences and to identify practical obstacles to registration.</w:t>
      </w:r>
    </w:p>
    <w:p w14:paraId="6145F12B" w14:textId="77777777" w:rsidR="00980EDA" w:rsidRDefault="00000000">
      <w:pPr>
        <w:numPr>
          <w:ilvl w:val="0"/>
          <w:numId w:val="11"/>
        </w:numPr>
        <w:pBdr>
          <w:top w:val="nil"/>
          <w:left w:val="nil"/>
          <w:bottom w:val="nil"/>
          <w:right w:val="nil"/>
          <w:between w:val="nil"/>
        </w:pBdr>
        <w:ind w:hanging="294"/>
      </w:pPr>
      <w:r>
        <w:rPr>
          <w:color w:val="000000"/>
        </w:rPr>
        <w:t>Case studies and simulations: focusing on issues such as unregistered (siri) marriages, issuance of birth certificates for children born out of unregistered unions, and divorce procedures.</w:t>
      </w:r>
    </w:p>
    <w:p w14:paraId="5341E1E7" w14:textId="77777777" w:rsidR="00980EDA" w:rsidRDefault="00000000">
      <w:pPr>
        <w:ind w:firstLine="426"/>
      </w:pPr>
      <w:r>
        <w:t>Methodologically, the article’s analysis adopts a doctrinal (</w:t>
      </w:r>
      <w:r>
        <w:rPr>
          <w:i/>
          <w:iCs/>
        </w:rPr>
        <w:t>yuridis normatif</w:t>
      </w:r>
      <w:r>
        <w:t>) approach, examining relevant legislation, Constitutional Court decisions, and pertinent prior studies.</w:t>
      </w:r>
    </w:p>
    <w:p w14:paraId="21843F40" w14:textId="77777777" w:rsidR="00980EDA" w:rsidRDefault="00980EDA"/>
    <w:p w14:paraId="697B360A" w14:textId="77777777" w:rsidR="00980EDA" w:rsidRDefault="00000000">
      <w:pPr>
        <w:numPr>
          <w:ilvl w:val="0"/>
          <w:numId w:val="9"/>
        </w:numPr>
        <w:ind w:left="426" w:hanging="426"/>
        <w:rPr>
          <w:b/>
          <w:bCs/>
        </w:rPr>
      </w:pPr>
      <w:r>
        <w:rPr>
          <w:b/>
          <w:bCs/>
        </w:rPr>
        <w:lastRenderedPageBreak/>
        <w:t>RESULTS AND DISCUSSION</w:t>
      </w:r>
    </w:p>
    <w:p w14:paraId="36D51BE3" w14:textId="77777777" w:rsidR="00980EDA" w:rsidRDefault="00000000">
      <w:pPr>
        <w:numPr>
          <w:ilvl w:val="1"/>
          <w:numId w:val="11"/>
        </w:numPr>
        <w:pBdr>
          <w:top w:val="nil"/>
          <w:left w:val="nil"/>
          <w:bottom w:val="nil"/>
          <w:right w:val="nil"/>
          <w:between w:val="nil"/>
        </w:pBdr>
        <w:ind w:left="851" w:hanging="425"/>
        <w:rPr>
          <w:b/>
          <w:bCs/>
          <w:color w:val="000000"/>
        </w:rPr>
      </w:pPr>
      <w:r>
        <w:rPr>
          <w:b/>
          <w:bCs/>
          <w:color w:val="000000"/>
        </w:rPr>
        <w:t>Legal Literacy Conditions of PKH Beneficiaries in Ciruas Subdistrict</w:t>
      </w:r>
    </w:p>
    <w:p w14:paraId="289BAFC7" w14:textId="77777777" w:rsidR="00980EDA" w:rsidRDefault="00000000">
      <w:pPr>
        <w:pBdr>
          <w:top w:val="nil"/>
          <w:left w:val="nil"/>
          <w:bottom w:val="nil"/>
          <w:right w:val="nil"/>
          <w:between w:val="nil"/>
        </w:pBdr>
        <w:ind w:left="851" w:firstLine="709"/>
        <w:rPr>
          <w:color w:val="000000"/>
        </w:rPr>
      </w:pPr>
      <w:r>
        <w:rPr>
          <w:color w:val="000000"/>
        </w:rPr>
        <w:t>The implementation of the PKM program indicated that the majority of participants demonstrated a low level of legal literacy, particularly regarding the registration of essential family events such as marriage, birth, and divorce. This condition is consistent with the findings outlined in the PKM proposal, which emphasized that most PKH beneficiaries lack an adequate understanding of their legal standing in various aspects of civil law, including family agreements, marital status, and the legal identity of children. The limited legal literacy of the community renders them vulnerable to both social and economic disadvantages.</w:t>
      </w:r>
    </w:p>
    <w:p w14:paraId="77B336BD" w14:textId="77777777" w:rsidR="00980EDA" w:rsidRDefault="00000000">
      <w:pPr>
        <w:pBdr>
          <w:top w:val="nil"/>
          <w:left w:val="nil"/>
          <w:bottom w:val="nil"/>
          <w:right w:val="nil"/>
          <w:between w:val="nil"/>
        </w:pBdr>
        <w:ind w:left="851" w:firstLine="709"/>
        <w:rPr>
          <w:color w:val="000000"/>
        </w:rPr>
      </w:pPr>
      <w:r>
        <w:rPr>
          <w:color w:val="000000"/>
        </w:rPr>
        <w:t>During the group discussions conducted throughout the PKM activities, several recurring issues emerged, namely:</w:t>
      </w:r>
    </w:p>
    <w:p w14:paraId="3147DB82" w14:textId="77777777" w:rsidR="00980EDA" w:rsidRDefault="00000000">
      <w:pPr>
        <w:numPr>
          <w:ilvl w:val="0"/>
          <w:numId w:val="14"/>
        </w:numPr>
        <w:pBdr>
          <w:top w:val="nil"/>
          <w:left w:val="nil"/>
          <w:bottom w:val="nil"/>
          <w:right w:val="nil"/>
          <w:between w:val="nil"/>
        </w:pBdr>
        <w:ind w:left="1560"/>
      </w:pPr>
      <w:r>
        <w:rPr>
          <w:color w:val="000000"/>
        </w:rPr>
        <w:t>Unregistered marriages (</w:t>
      </w:r>
      <w:r>
        <w:rPr>
          <w:i/>
          <w:iCs/>
          <w:color w:val="000000"/>
        </w:rPr>
        <w:t>nikah siri</w:t>
      </w:r>
      <w:r>
        <w:rPr>
          <w:color w:val="000000"/>
        </w:rPr>
        <w:t>), which are considered commonplace and not perceived as problematic until marital conflicts arise;</w:t>
      </w:r>
    </w:p>
    <w:p w14:paraId="2CBCE4F7" w14:textId="77777777" w:rsidR="00980EDA" w:rsidRDefault="00000000">
      <w:pPr>
        <w:numPr>
          <w:ilvl w:val="0"/>
          <w:numId w:val="14"/>
        </w:numPr>
        <w:pBdr>
          <w:top w:val="nil"/>
          <w:left w:val="nil"/>
          <w:bottom w:val="nil"/>
          <w:right w:val="nil"/>
          <w:between w:val="nil"/>
        </w:pBdr>
        <w:ind w:left="1560"/>
      </w:pPr>
      <w:r>
        <w:rPr>
          <w:color w:val="000000"/>
        </w:rPr>
        <w:t>Births of children without birth certificates, particularly those born from unregistered marriages;</w:t>
      </w:r>
    </w:p>
    <w:p w14:paraId="65A8B04B" w14:textId="77777777" w:rsidR="00980EDA" w:rsidRDefault="00000000">
      <w:pPr>
        <w:numPr>
          <w:ilvl w:val="0"/>
          <w:numId w:val="14"/>
        </w:numPr>
        <w:pBdr>
          <w:top w:val="nil"/>
          <w:left w:val="nil"/>
          <w:bottom w:val="nil"/>
          <w:right w:val="nil"/>
          <w:between w:val="nil"/>
        </w:pBdr>
        <w:ind w:left="1560"/>
      </w:pPr>
      <w:r>
        <w:rPr>
          <w:color w:val="000000"/>
        </w:rPr>
        <w:t>Unregistered divorces, which are often carried out through customary practices or family agreements without court involvement.</w:t>
      </w:r>
    </w:p>
    <w:p w14:paraId="138021EA" w14:textId="77777777" w:rsidR="00980EDA" w:rsidRDefault="00000000">
      <w:pPr>
        <w:pBdr>
          <w:top w:val="nil"/>
          <w:left w:val="nil"/>
          <w:bottom w:val="nil"/>
          <w:right w:val="nil"/>
          <w:between w:val="nil"/>
        </w:pBdr>
        <w:ind w:left="851" w:firstLine="709"/>
        <w:rPr>
          <w:color w:val="000000"/>
        </w:rPr>
      </w:pPr>
      <w:r>
        <w:rPr>
          <w:color w:val="000000"/>
        </w:rPr>
        <w:t>These findings demonstrate that issues related to family administrative procedures are not merely technical in nature, but directly relate to the protection of fundamental rights of women and children.</w:t>
      </w:r>
    </w:p>
    <w:p w14:paraId="35A1BA5E" w14:textId="77777777" w:rsidR="00980EDA" w:rsidRDefault="00980EDA">
      <w:pPr>
        <w:ind w:left="851" w:firstLine="709"/>
      </w:pPr>
    </w:p>
    <w:p w14:paraId="18777002" w14:textId="77777777" w:rsidR="00980EDA" w:rsidRDefault="00000000">
      <w:pPr>
        <w:numPr>
          <w:ilvl w:val="1"/>
          <w:numId w:val="11"/>
        </w:numPr>
        <w:pBdr>
          <w:top w:val="nil"/>
          <w:left w:val="nil"/>
          <w:bottom w:val="nil"/>
          <w:right w:val="nil"/>
          <w:between w:val="nil"/>
        </w:pBdr>
        <w:ind w:left="851" w:hanging="425"/>
        <w:rPr>
          <w:b/>
          <w:bCs/>
          <w:color w:val="000000"/>
        </w:rPr>
      </w:pPr>
      <w:r>
        <w:rPr>
          <w:b/>
          <w:bCs/>
          <w:color w:val="000000"/>
        </w:rPr>
        <w:t>The Urgency of Marriage Registration in the Context of Legal Protection</w:t>
      </w:r>
    </w:p>
    <w:p w14:paraId="3910B79F" w14:textId="77777777" w:rsidR="00980EDA" w:rsidRDefault="00000000">
      <w:pPr>
        <w:numPr>
          <w:ilvl w:val="0"/>
          <w:numId w:val="12"/>
        </w:numPr>
        <w:pBdr>
          <w:top w:val="nil"/>
          <w:left w:val="nil"/>
          <w:bottom w:val="nil"/>
          <w:right w:val="nil"/>
          <w:between w:val="nil"/>
        </w:pBdr>
        <w:ind w:left="1134" w:hanging="283"/>
      </w:pPr>
      <w:r>
        <w:rPr>
          <w:color w:val="000000"/>
        </w:rPr>
        <w:t>Legal Basis and Normative Implications</w:t>
      </w:r>
    </w:p>
    <w:p w14:paraId="51611FC2" w14:textId="77777777" w:rsidR="00980EDA" w:rsidRDefault="00000000">
      <w:pPr>
        <w:pBdr>
          <w:top w:val="nil"/>
          <w:left w:val="nil"/>
          <w:bottom w:val="nil"/>
          <w:right w:val="nil"/>
          <w:between w:val="nil"/>
        </w:pBdr>
        <w:ind w:left="1134" w:firstLine="709"/>
        <w:rPr>
          <w:color w:val="000000"/>
        </w:rPr>
      </w:pPr>
      <w:r>
        <w:rPr>
          <w:color w:val="000000"/>
        </w:rPr>
        <w:t xml:space="preserve">Article 2 of Law No. 1 of 1974 mandates that marriage registration is a prerequisite for administrative legality. This requirement is reinforced by the </w:t>
      </w:r>
      <w:r>
        <w:rPr>
          <w:i/>
          <w:iCs/>
          <w:color w:val="000000"/>
        </w:rPr>
        <w:t>Kompilasi Hukum Islam</w:t>
      </w:r>
      <w:r>
        <w:rPr>
          <w:color w:val="000000"/>
        </w:rPr>
        <w:t xml:space="preserve"> (KHI), which stipulates that unregistered marriages possess no legal force under state law. Numerous studies have underscored that the absence of registration creates significant legal uncertainty, particularly for wives and children.</w:t>
      </w:r>
    </w:p>
    <w:p w14:paraId="160C3CE1" w14:textId="77777777" w:rsidR="00980EDA" w:rsidRDefault="00000000">
      <w:pPr>
        <w:pBdr>
          <w:top w:val="nil"/>
          <w:left w:val="nil"/>
          <w:bottom w:val="nil"/>
          <w:right w:val="nil"/>
          <w:between w:val="nil"/>
        </w:pBdr>
        <w:ind w:left="1134" w:firstLine="709"/>
        <w:rPr>
          <w:color w:val="000000"/>
        </w:rPr>
      </w:pPr>
      <w:bookmarkStart w:id="0" w:name="_deas8wch7q5b" w:colFirst="0" w:colLast="0"/>
      <w:bookmarkEnd w:id="0"/>
      <w:r>
        <w:rPr>
          <w:color w:val="000000"/>
        </w:rPr>
        <w:t xml:space="preserve">Women in unregistered marriages are placed in a disadvantaged position because they cannot file claims related to maintenance, marital property, or other civil entitlements, thereby depriving them of fundamental legal protections they are </w:t>
      </w:r>
      <w:r>
        <w:rPr>
          <w:color w:val="000000"/>
        </w:rPr>
        <w:lastRenderedPageBreak/>
        <w:t>entitled to receive (Sukiati &amp; Bancin, 2020). This situation is exacerbated by the fact that children born from such marriages are often considered out-of-wedlock children under state law.</w:t>
      </w:r>
    </w:p>
    <w:p w14:paraId="6E8850B0" w14:textId="77777777" w:rsidR="00980EDA" w:rsidRDefault="00000000">
      <w:pPr>
        <w:numPr>
          <w:ilvl w:val="0"/>
          <w:numId w:val="12"/>
        </w:numPr>
        <w:pBdr>
          <w:top w:val="nil"/>
          <w:left w:val="nil"/>
          <w:bottom w:val="nil"/>
          <w:right w:val="nil"/>
          <w:between w:val="nil"/>
        </w:pBdr>
        <w:ind w:left="1134" w:hanging="283"/>
      </w:pPr>
      <w:r>
        <w:rPr>
          <w:color w:val="000000"/>
        </w:rPr>
        <w:t xml:space="preserve">PKM Findings on </w:t>
      </w:r>
      <w:r>
        <w:rPr>
          <w:i/>
          <w:iCs/>
          <w:color w:val="000000"/>
        </w:rPr>
        <w:t>Nikah Siri</w:t>
      </w:r>
    </w:p>
    <w:p w14:paraId="7E8C5EAE" w14:textId="77777777" w:rsidR="00980EDA" w:rsidRDefault="00000000">
      <w:pPr>
        <w:pBdr>
          <w:top w:val="nil"/>
          <w:left w:val="nil"/>
          <w:bottom w:val="nil"/>
          <w:right w:val="nil"/>
          <w:between w:val="nil"/>
        </w:pBdr>
        <w:ind w:left="1134" w:firstLine="709"/>
        <w:rPr>
          <w:color w:val="000000"/>
        </w:rPr>
      </w:pPr>
      <w:r>
        <w:rPr>
          <w:color w:val="000000"/>
        </w:rPr>
        <w:t>During discussions with PKM participants, several contributing factors were identified:</w:t>
      </w:r>
    </w:p>
    <w:p w14:paraId="6A192508" w14:textId="77777777" w:rsidR="00980EDA" w:rsidRDefault="00000000">
      <w:pPr>
        <w:numPr>
          <w:ilvl w:val="0"/>
          <w:numId w:val="13"/>
        </w:numPr>
        <w:pBdr>
          <w:top w:val="nil"/>
          <w:left w:val="nil"/>
          <w:bottom w:val="nil"/>
          <w:right w:val="nil"/>
          <w:between w:val="nil"/>
        </w:pBdr>
        <w:ind w:left="1843"/>
      </w:pPr>
      <w:r>
        <w:rPr>
          <w:i/>
          <w:iCs/>
          <w:color w:val="000000"/>
        </w:rPr>
        <w:t>Nikah siri</w:t>
      </w:r>
      <w:r>
        <w:rPr>
          <w:color w:val="000000"/>
        </w:rPr>
        <w:t xml:space="preserve"> is practiced due to a lack of understanding of administrative requirements, inability to fulfill those requirements, pregnancies outside marriage, or lack of awareness regarding the legal obligation to register marriages;</w:t>
      </w:r>
    </w:p>
    <w:p w14:paraId="61AE8C6E" w14:textId="77777777" w:rsidR="00980EDA" w:rsidRDefault="00000000">
      <w:pPr>
        <w:numPr>
          <w:ilvl w:val="0"/>
          <w:numId w:val="13"/>
        </w:numPr>
        <w:pBdr>
          <w:top w:val="nil"/>
          <w:left w:val="nil"/>
          <w:bottom w:val="nil"/>
          <w:right w:val="nil"/>
          <w:between w:val="nil"/>
        </w:pBdr>
        <w:ind w:left="1843"/>
      </w:pPr>
      <w:r>
        <w:rPr>
          <w:color w:val="000000"/>
        </w:rPr>
        <w:t xml:space="preserve">The adverse impacts of </w:t>
      </w:r>
      <w:r>
        <w:rPr>
          <w:i/>
          <w:iCs/>
          <w:color w:val="000000"/>
        </w:rPr>
        <w:t>nikah siri</w:t>
      </w:r>
      <w:r>
        <w:rPr>
          <w:color w:val="000000"/>
        </w:rPr>
        <w:t xml:space="preserve"> are often realized only once family conflicts arise, particularly when a wife is abandoned or when attempting to obtain a birth certificate for a child.</w:t>
      </w:r>
    </w:p>
    <w:p w14:paraId="004E40B7" w14:textId="77777777" w:rsidR="00980EDA" w:rsidRDefault="00000000">
      <w:pPr>
        <w:ind w:left="1134" w:firstLine="709"/>
      </w:pPr>
      <w:r>
        <w:t>This indicates that limited legal knowledge increases the vulnerability of women within marital relationships.</w:t>
      </w:r>
    </w:p>
    <w:p w14:paraId="55155D68" w14:textId="77777777" w:rsidR="00980EDA" w:rsidRDefault="00000000">
      <w:pPr>
        <w:numPr>
          <w:ilvl w:val="1"/>
          <w:numId w:val="11"/>
        </w:numPr>
        <w:pBdr>
          <w:top w:val="nil"/>
          <w:left w:val="nil"/>
          <w:bottom w:val="nil"/>
          <w:right w:val="nil"/>
          <w:between w:val="nil"/>
        </w:pBdr>
        <w:ind w:left="851" w:hanging="425"/>
        <w:rPr>
          <w:b/>
          <w:bCs/>
          <w:color w:val="000000"/>
        </w:rPr>
      </w:pPr>
      <w:r>
        <w:rPr>
          <w:b/>
          <w:bCs/>
          <w:color w:val="000000"/>
        </w:rPr>
        <w:t>Birth Registration as a Fundamental Right and an Instrument of Child Protection</w:t>
      </w:r>
    </w:p>
    <w:p w14:paraId="2FAD5013" w14:textId="77777777" w:rsidR="00980EDA" w:rsidRDefault="00000000">
      <w:pPr>
        <w:numPr>
          <w:ilvl w:val="0"/>
          <w:numId w:val="15"/>
        </w:numPr>
        <w:pBdr>
          <w:top w:val="nil"/>
          <w:left w:val="nil"/>
          <w:bottom w:val="nil"/>
          <w:right w:val="nil"/>
          <w:between w:val="nil"/>
        </w:pBdr>
        <w:ind w:left="1134" w:hanging="283"/>
      </w:pPr>
      <w:r>
        <w:rPr>
          <w:color w:val="000000"/>
        </w:rPr>
        <w:t>Legal identity as a prerequisite for accessing children’s rights</w:t>
      </w:r>
    </w:p>
    <w:p w14:paraId="26E5C358" w14:textId="77777777" w:rsidR="00980EDA" w:rsidRDefault="00000000">
      <w:pPr>
        <w:pBdr>
          <w:top w:val="nil"/>
          <w:left w:val="nil"/>
          <w:bottom w:val="nil"/>
          <w:right w:val="nil"/>
          <w:between w:val="nil"/>
        </w:pBdr>
        <w:ind w:left="1134" w:firstLine="709"/>
        <w:rPr>
          <w:color w:val="000000"/>
        </w:rPr>
      </w:pPr>
      <w:r>
        <w:rPr>
          <w:color w:val="000000"/>
        </w:rPr>
        <w:t>A birth certificate constitutes a child’s legal identity as recognized by the state. Birth registration is a fundamental right of the child, as an individual’s legal existence is acknowledged only once their birth has been officially recorded (Aziz, 2018). Without a birth certificate, a child is at risk of losing access to:</w:t>
      </w:r>
    </w:p>
    <w:p w14:paraId="5783C3A9" w14:textId="77777777" w:rsidR="00980EDA" w:rsidRDefault="00000000">
      <w:pPr>
        <w:numPr>
          <w:ilvl w:val="0"/>
          <w:numId w:val="2"/>
        </w:numPr>
        <w:pBdr>
          <w:top w:val="nil"/>
          <w:left w:val="nil"/>
          <w:bottom w:val="nil"/>
          <w:right w:val="nil"/>
          <w:between w:val="nil"/>
        </w:pBdr>
        <w:ind w:left="1843"/>
      </w:pPr>
      <w:r>
        <w:rPr>
          <w:color w:val="000000"/>
        </w:rPr>
        <w:t>formal education,</w:t>
      </w:r>
    </w:p>
    <w:p w14:paraId="74F6092D" w14:textId="77777777" w:rsidR="00980EDA" w:rsidRDefault="00000000">
      <w:pPr>
        <w:numPr>
          <w:ilvl w:val="0"/>
          <w:numId w:val="2"/>
        </w:numPr>
        <w:pBdr>
          <w:top w:val="nil"/>
          <w:left w:val="nil"/>
          <w:bottom w:val="nil"/>
          <w:right w:val="nil"/>
          <w:between w:val="nil"/>
        </w:pBdr>
        <w:ind w:left="1843"/>
      </w:pPr>
      <w:r>
        <w:rPr>
          <w:color w:val="000000"/>
        </w:rPr>
        <w:t>social security benefits (such as BPJS Health or PKH),</w:t>
      </w:r>
    </w:p>
    <w:p w14:paraId="1DCAFAF0" w14:textId="77777777" w:rsidR="00980EDA" w:rsidRDefault="00000000">
      <w:pPr>
        <w:numPr>
          <w:ilvl w:val="0"/>
          <w:numId w:val="2"/>
        </w:numPr>
        <w:pBdr>
          <w:top w:val="nil"/>
          <w:left w:val="nil"/>
          <w:bottom w:val="nil"/>
          <w:right w:val="nil"/>
          <w:between w:val="nil"/>
        </w:pBdr>
        <w:ind w:left="1843"/>
      </w:pPr>
      <w:r>
        <w:rPr>
          <w:color w:val="000000"/>
        </w:rPr>
        <w:t>legal protection,</w:t>
      </w:r>
    </w:p>
    <w:p w14:paraId="0F0978C5" w14:textId="77777777" w:rsidR="00980EDA" w:rsidRDefault="00000000">
      <w:pPr>
        <w:numPr>
          <w:ilvl w:val="0"/>
          <w:numId w:val="2"/>
        </w:numPr>
        <w:pBdr>
          <w:top w:val="nil"/>
          <w:left w:val="nil"/>
          <w:bottom w:val="nil"/>
          <w:right w:val="nil"/>
          <w:between w:val="nil"/>
        </w:pBdr>
        <w:ind w:left="1843"/>
      </w:pPr>
      <w:r>
        <w:rPr>
          <w:color w:val="000000"/>
        </w:rPr>
        <w:t>certainty of citizenship status.</w:t>
      </w:r>
    </w:p>
    <w:p w14:paraId="796ADE27" w14:textId="77777777" w:rsidR="00980EDA" w:rsidRDefault="00000000">
      <w:pPr>
        <w:ind w:left="1134" w:firstLine="709"/>
      </w:pPr>
      <w:r>
        <w:t xml:space="preserve">Research findings indicate that a birth certificate also determines the civil legal relationship between a child and their parents, including inheritance rights </w:t>
      </w:r>
      <w:r>
        <w:lastRenderedPageBreak/>
        <w:t>and the recognition of children born out of wedlock in accordance with Constitutional Court Decision No. 46/PUU-VII/2010 (Isnaini et al., 2021).</w:t>
      </w:r>
    </w:p>
    <w:p w14:paraId="13D96E0A" w14:textId="77777777" w:rsidR="00980EDA" w:rsidRDefault="00000000">
      <w:pPr>
        <w:numPr>
          <w:ilvl w:val="0"/>
          <w:numId w:val="15"/>
        </w:numPr>
        <w:pBdr>
          <w:top w:val="nil"/>
          <w:left w:val="nil"/>
          <w:bottom w:val="nil"/>
          <w:right w:val="nil"/>
          <w:between w:val="nil"/>
        </w:pBdr>
        <w:ind w:left="1134" w:hanging="283"/>
      </w:pPr>
      <w:r>
        <w:rPr>
          <w:color w:val="000000"/>
        </w:rPr>
        <w:t>Field realities concerning birth certificates</w:t>
      </w:r>
    </w:p>
    <w:p w14:paraId="175F3074" w14:textId="77777777" w:rsidR="00980EDA" w:rsidRDefault="00000000">
      <w:pPr>
        <w:pBdr>
          <w:top w:val="nil"/>
          <w:left w:val="nil"/>
          <w:bottom w:val="nil"/>
          <w:right w:val="nil"/>
          <w:between w:val="nil"/>
        </w:pBdr>
        <w:ind w:left="1134" w:firstLine="709"/>
        <w:rPr>
          <w:b/>
          <w:bCs/>
          <w:color w:val="000000"/>
        </w:rPr>
      </w:pPr>
      <w:r>
        <w:rPr>
          <w:color w:val="000000"/>
        </w:rPr>
        <w:t>Within the PKM activities, several major obstacles were identified in the process of obtaining birth certificates:</w:t>
      </w:r>
    </w:p>
    <w:p w14:paraId="39D29C2C" w14:textId="77777777" w:rsidR="00980EDA" w:rsidRDefault="00000000">
      <w:pPr>
        <w:numPr>
          <w:ilvl w:val="0"/>
          <w:numId w:val="3"/>
        </w:numPr>
        <w:pBdr>
          <w:top w:val="nil"/>
          <w:left w:val="nil"/>
          <w:bottom w:val="nil"/>
          <w:right w:val="nil"/>
          <w:between w:val="nil"/>
        </w:pBdr>
        <w:ind w:left="1843"/>
      </w:pPr>
      <w:r>
        <w:rPr>
          <w:color w:val="000000"/>
        </w:rPr>
        <w:t>The parents’ marriage is not registered, resulting in the absence of the supporting documents required.</w:t>
      </w:r>
    </w:p>
    <w:p w14:paraId="5FBE0924" w14:textId="77777777" w:rsidR="00980EDA" w:rsidRDefault="00000000">
      <w:pPr>
        <w:numPr>
          <w:ilvl w:val="0"/>
          <w:numId w:val="3"/>
        </w:numPr>
        <w:pBdr>
          <w:top w:val="nil"/>
          <w:left w:val="nil"/>
          <w:bottom w:val="nil"/>
          <w:right w:val="nil"/>
          <w:between w:val="nil"/>
        </w:pBdr>
        <w:ind w:left="1843"/>
      </w:pPr>
      <w:r>
        <w:rPr>
          <w:color w:val="000000"/>
        </w:rPr>
        <w:t>A lack of awareness and understanding that a birth certificate is a highly essential document.</w:t>
      </w:r>
    </w:p>
    <w:p w14:paraId="18719D05" w14:textId="77777777" w:rsidR="00980EDA" w:rsidRDefault="00000000">
      <w:pPr>
        <w:numPr>
          <w:ilvl w:val="0"/>
          <w:numId w:val="3"/>
        </w:numPr>
        <w:pBdr>
          <w:top w:val="nil"/>
          <w:left w:val="nil"/>
          <w:bottom w:val="nil"/>
          <w:right w:val="nil"/>
          <w:between w:val="nil"/>
        </w:pBdr>
        <w:ind w:left="1843"/>
      </w:pPr>
      <w:r>
        <w:rPr>
          <w:color w:val="000000"/>
        </w:rPr>
        <w:t>Administrative misconceptions, such as the belief that a birth certificate can only be issued after the parents have formally registered their marriage.</w:t>
      </w:r>
    </w:p>
    <w:p w14:paraId="59A194B8" w14:textId="77777777" w:rsidR="00980EDA" w:rsidRDefault="00000000">
      <w:pPr>
        <w:ind w:left="1134" w:firstLine="709"/>
      </w:pPr>
      <w:r>
        <w:t>This reinforces the finding that the low coverage of birth certificates is caused by limited public awareness and various administrative barriers, such as costs, delays, and additional requirements in the form of court determinations for certain cases. (Mubarok, 2016).</w:t>
      </w:r>
    </w:p>
    <w:p w14:paraId="26D330C2" w14:textId="77777777" w:rsidR="00980EDA" w:rsidRDefault="00000000">
      <w:pPr>
        <w:numPr>
          <w:ilvl w:val="1"/>
          <w:numId w:val="11"/>
        </w:numPr>
        <w:pBdr>
          <w:top w:val="nil"/>
          <w:left w:val="nil"/>
          <w:bottom w:val="nil"/>
          <w:right w:val="nil"/>
          <w:between w:val="nil"/>
        </w:pBdr>
        <w:ind w:left="851" w:hanging="425"/>
        <w:rPr>
          <w:b/>
          <w:bCs/>
          <w:color w:val="000000"/>
        </w:rPr>
      </w:pPr>
      <w:r>
        <w:rPr>
          <w:b/>
          <w:bCs/>
          <w:color w:val="000000"/>
        </w:rPr>
        <w:t>Divorce Registration as a Requirement for Legal Certainty After the Dissolution of Marriage</w:t>
      </w:r>
    </w:p>
    <w:p w14:paraId="0F025B1F" w14:textId="77777777" w:rsidR="00980EDA" w:rsidRDefault="00000000">
      <w:pPr>
        <w:numPr>
          <w:ilvl w:val="0"/>
          <w:numId w:val="4"/>
        </w:numPr>
        <w:pBdr>
          <w:top w:val="nil"/>
          <w:left w:val="nil"/>
          <w:bottom w:val="nil"/>
          <w:right w:val="nil"/>
          <w:between w:val="nil"/>
        </w:pBdr>
        <w:ind w:left="1134" w:hanging="283"/>
      </w:pPr>
      <w:r>
        <w:rPr>
          <w:color w:val="000000"/>
        </w:rPr>
        <w:t>Legal consequences of an unregistered divorce</w:t>
      </w:r>
    </w:p>
    <w:p w14:paraId="686E632A" w14:textId="77777777" w:rsidR="00980EDA" w:rsidRDefault="00000000">
      <w:pPr>
        <w:pBdr>
          <w:top w:val="nil"/>
          <w:left w:val="nil"/>
          <w:bottom w:val="nil"/>
          <w:right w:val="nil"/>
          <w:between w:val="nil"/>
        </w:pBdr>
        <w:ind w:left="1134" w:firstLine="709"/>
        <w:rPr>
          <w:color w:val="000000"/>
        </w:rPr>
      </w:pPr>
      <w:r>
        <w:rPr>
          <w:color w:val="000000"/>
        </w:rPr>
        <w:t>According to Article 39 of Law No. 1 of 1974, a divorce is valid only if it is granted through a court decision. A divorce that is not officially registered results in legal uncertainty regarding the status of joint marital property, child custody, and the rights of women to claim post-divorce maintenance (Amajihono, 2018).</w:t>
      </w:r>
    </w:p>
    <w:p w14:paraId="6DDF3738" w14:textId="77777777" w:rsidR="00980EDA" w:rsidRDefault="00000000">
      <w:pPr>
        <w:pBdr>
          <w:top w:val="nil"/>
          <w:left w:val="nil"/>
          <w:bottom w:val="nil"/>
          <w:right w:val="nil"/>
          <w:between w:val="nil"/>
        </w:pBdr>
        <w:ind w:left="1134" w:firstLine="709"/>
        <w:rPr>
          <w:color w:val="000000"/>
        </w:rPr>
      </w:pPr>
      <w:r>
        <w:rPr>
          <w:color w:val="000000"/>
        </w:rPr>
        <w:t>In practice, some discussion participants had undergone “cerai adat” or separated informally without any legal process. As a result:</w:t>
      </w:r>
    </w:p>
    <w:p w14:paraId="27564DF1" w14:textId="77777777" w:rsidR="00980EDA" w:rsidRDefault="00000000">
      <w:pPr>
        <w:numPr>
          <w:ilvl w:val="0"/>
          <w:numId w:val="5"/>
        </w:numPr>
        <w:pBdr>
          <w:top w:val="nil"/>
          <w:left w:val="nil"/>
          <w:bottom w:val="nil"/>
          <w:right w:val="nil"/>
          <w:between w:val="nil"/>
        </w:pBdr>
        <w:ind w:left="1843"/>
        <w:rPr>
          <w:color w:val="000000"/>
        </w:rPr>
      </w:pPr>
      <w:r>
        <w:rPr>
          <w:color w:val="000000"/>
        </w:rPr>
        <w:t>Former wives are often unable to claim their economic rights after the divorce.</w:t>
      </w:r>
    </w:p>
    <w:p w14:paraId="34F8CDEC" w14:textId="77777777" w:rsidR="00980EDA" w:rsidRDefault="00000000">
      <w:pPr>
        <w:numPr>
          <w:ilvl w:val="0"/>
          <w:numId w:val="5"/>
        </w:numPr>
        <w:pBdr>
          <w:top w:val="nil"/>
          <w:left w:val="nil"/>
          <w:bottom w:val="nil"/>
          <w:right w:val="nil"/>
          <w:between w:val="nil"/>
        </w:pBdr>
        <w:ind w:left="1843"/>
        <w:rPr>
          <w:b/>
          <w:bCs/>
          <w:color w:val="000000"/>
        </w:rPr>
      </w:pPr>
      <w:r>
        <w:rPr>
          <w:color w:val="000000"/>
        </w:rPr>
        <w:t>Men may remarry without obtaining an official divorce certificate, thereby creating the potential for unlawful bigamous marriages.</w:t>
      </w:r>
    </w:p>
    <w:p w14:paraId="4800B97D" w14:textId="77777777" w:rsidR="00980EDA" w:rsidRDefault="00000000">
      <w:pPr>
        <w:numPr>
          <w:ilvl w:val="0"/>
          <w:numId w:val="4"/>
        </w:numPr>
        <w:pBdr>
          <w:top w:val="nil"/>
          <w:left w:val="nil"/>
          <w:bottom w:val="nil"/>
          <w:right w:val="nil"/>
          <w:between w:val="nil"/>
        </w:pBdr>
        <w:ind w:left="1134" w:hanging="283"/>
      </w:pPr>
      <w:r>
        <w:rPr>
          <w:color w:val="000000"/>
        </w:rPr>
        <w:t>Field findings</w:t>
      </w:r>
    </w:p>
    <w:p w14:paraId="5ED8D9AF" w14:textId="77777777" w:rsidR="00980EDA" w:rsidRDefault="00000000">
      <w:pPr>
        <w:pBdr>
          <w:top w:val="nil"/>
          <w:left w:val="nil"/>
          <w:bottom w:val="nil"/>
          <w:right w:val="nil"/>
          <w:between w:val="nil"/>
        </w:pBdr>
        <w:ind w:left="1134" w:firstLine="709"/>
        <w:rPr>
          <w:color w:val="000000"/>
        </w:rPr>
      </w:pPr>
      <w:r>
        <w:rPr>
          <w:color w:val="000000"/>
        </w:rPr>
        <w:t>In the FGDs conducted with PKM participants, several cases were identified:</w:t>
      </w:r>
    </w:p>
    <w:p w14:paraId="4023F048" w14:textId="77777777" w:rsidR="00980EDA" w:rsidRDefault="00000000">
      <w:pPr>
        <w:numPr>
          <w:ilvl w:val="0"/>
          <w:numId w:val="6"/>
        </w:numPr>
        <w:pBdr>
          <w:top w:val="nil"/>
          <w:left w:val="nil"/>
          <w:bottom w:val="nil"/>
          <w:right w:val="nil"/>
          <w:between w:val="nil"/>
        </w:pBdr>
        <w:ind w:left="1843"/>
      </w:pPr>
      <w:r>
        <w:rPr>
          <w:color w:val="000000"/>
        </w:rPr>
        <w:lastRenderedPageBreak/>
        <w:t>Women were unable to process social assistance applications because their family status in the Family Card (</w:t>
      </w:r>
      <w:r>
        <w:rPr>
          <w:i/>
          <w:iCs/>
          <w:color w:val="000000"/>
        </w:rPr>
        <w:t>Kartu Keluarga</w:t>
      </w:r>
      <w:r>
        <w:rPr>
          <w:color w:val="000000"/>
        </w:rPr>
        <w:t>) could not be updated without an official divorce certificate.</w:t>
      </w:r>
    </w:p>
    <w:p w14:paraId="3DC5CE9A" w14:textId="77777777" w:rsidR="00980EDA" w:rsidRDefault="00000000">
      <w:pPr>
        <w:numPr>
          <w:ilvl w:val="0"/>
          <w:numId w:val="6"/>
        </w:numPr>
        <w:pBdr>
          <w:top w:val="nil"/>
          <w:left w:val="nil"/>
          <w:bottom w:val="nil"/>
          <w:right w:val="nil"/>
          <w:between w:val="nil"/>
        </w:pBdr>
        <w:ind w:left="1843"/>
      </w:pPr>
      <w:r>
        <w:rPr>
          <w:color w:val="000000"/>
        </w:rPr>
        <w:t>Disputes over joint marital property could not be resolved due to the absence of official proof that the marriage had legally ended.</w:t>
      </w:r>
    </w:p>
    <w:p w14:paraId="6893B89E" w14:textId="77777777" w:rsidR="00980EDA" w:rsidRDefault="00000000">
      <w:pPr>
        <w:numPr>
          <w:ilvl w:val="1"/>
          <w:numId w:val="11"/>
        </w:numPr>
        <w:pBdr>
          <w:top w:val="nil"/>
          <w:left w:val="nil"/>
          <w:bottom w:val="nil"/>
          <w:right w:val="nil"/>
          <w:between w:val="nil"/>
        </w:pBdr>
        <w:ind w:left="851" w:hanging="425"/>
        <w:rPr>
          <w:b/>
          <w:bCs/>
          <w:color w:val="000000"/>
        </w:rPr>
      </w:pPr>
      <w:r>
        <w:rPr>
          <w:b/>
          <w:bCs/>
          <w:color w:val="000000"/>
        </w:rPr>
        <w:t>Legal Protection for Women and Children from a Social Justice Perspective</w:t>
      </w:r>
    </w:p>
    <w:p w14:paraId="061E7AF7" w14:textId="77777777" w:rsidR="00980EDA" w:rsidRDefault="00000000">
      <w:pPr>
        <w:pBdr>
          <w:top w:val="nil"/>
          <w:left w:val="nil"/>
          <w:bottom w:val="nil"/>
          <w:right w:val="nil"/>
          <w:between w:val="nil"/>
        </w:pBdr>
        <w:ind w:left="851" w:firstLine="709"/>
        <w:rPr>
          <w:color w:val="000000"/>
        </w:rPr>
      </w:pPr>
      <w:r>
        <w:rPr>
          <w:color w:val="000000"/>
        </w:rPr>
        <w:t>Various studies show that the registration of family events serves as a state mechanism for protecting women and children. In unregistered marriages, women occupy a disadvantaged social, economic, and legal position (Sukiati &amp; Bancin, 2020). Children born from unregistered marriages also have civil legal relations only with their mothers (Pratiwi, 2022), unless the father provides formal acknowledgment.</w:t>
      </w:r>
    </w:p>
    <w:p w14:paraId="5A6008FB" w14:textId="77777777" w:rsidR="00980EDA" w:rsidRDefault="00000000">
      <w:pPr>
        <w:pBdr>
          <w:top w:val="nil"/>
          <w:left w:val="nil"/>
          <w:bottom w:val="nil"/>
          <w:right w:val="nil"/>
          <w:between w:val="nil"/>
        </w:pBdr>
        <w:ind w:left="851" w:firstLine="709"/>
        <w:rPr>
          <w:color w:val="000000"/>
        </w:rPr>
      </w:pPr>
      <w:r>
        <w:rPr>
          <w:color w:val="000000"/>
        </w:rPr>
        <w:t>The PKM found that this issue is highly relevant to PKH beneficiary communities, as most women lack the knowledge or access necessary to assert their rights. Through legal outreach, participants came to understand that registration is not merely an administrative formality, but a legal protection mechanism that affects all aspects of family life.</w:t>
      </w:r>
    </w:p>
    <w:p w14:paraId="31456851" w14:textId="77777777" w:rsidR="00980EDA" w:rsidRDefault="00000000">
      <w:pPr>
        <w:numPr>
          <w:ilvl w:val="1"/>
          <w:numId w:val="11"/>
        </w:numPr>
        <w:pBdr>
          <w:top w:val="nil"/>
          <w:left w:val="nil"/>
          <w:bottom w:val="nil"/>
          <w:right w:val="nil"/>
          <w:between w:val="nil"/>
        </w:pBdr>
        <w:ind w:left="851" w:hanging="425"/>
        <w:rPr>
          <w:b/>
          <w:bCs/>
          <w:color w:val="000000"/>
        </w:rPr>
      </w:pPr>
      <w:r>
        <w:rPr>
          <w:b/>
          <w:bCs/>
          <w:color w:val="000000"/>
        </w:rPr>
        <w:t>Practical Implications of Legal Education through the PKM Program</w:t>
      </w:r>
    </w:p>
    <w:p w14:paraId="4EBFAAD1" w14:textId="77777777" w:rsidR="00980EDA" w:rsidRDefault="00000000">
      <w:pPr>
        <w:pBdr>
          <w:top w:val="nil"/>
          <w:left w:val="nil"/>
          <w:bottom w:val="nil"/>
          <w:right w:val="nil"/>
          <w:between w:val="nil"/>
        </w:pBdr>
        <w:ind w:left="851" w:firstLine="709"/>
        <w:rPr>
          <w:color w:val="000000"/>
        </w:rPr>
      </w:pPr>
      <w:r>
        <w:rPr>
          <w:color w:val="000000"/>
        </w:rPr>
        <w:t>The PKM activities demonstrated that an interactive legal education approach is effective in enhancing the community’s basic legal understanding. Participants showed increased knowledge regarding:</w:t>
      </w:r>
    </w:p>
    <w:p w14:paraId="2A08E107" w14:textId="77777777" w:rsidR="00980EDA" w:rsidRDefault="00000000">
      <w:pPr>
        <w:numPr>
          <w:ilvl w:val="0"/>
          <w:numId w:val="7"/>
        </w:numPr>
        <w:pBdr>
          <w:top w:val="nil"/>
          <w:left w:val="nil"/>
          <w:bottom w:val="nil"/>
          <w:right w:val="nil"/>
          <w:between w:val="nil"/>
        </w:pBdr>
        <w:ind w:left="1560"/>
        <w:rPr>
          <w:color w:val="000000"/>
        </w:rPr>
      </w:pPr>
      <w:r>
        <w:rPr>
          <w:color w:val="000000"/>
        </w:rPr>
        <w:t>the procedures for registering marriages, births, and divorces,</w:t>
      </w:r>
    </w:p>
    <w:p w14:paraId="31AD9FDD" w14:textId="77777777" w:rsidR="00980EDA" w:rsidRDefault="00000000">
      <w:pPr>
        <w:numPr>
          <w:ilvl w:val="0"/>
          <w:numId w:val="7"/>
        </w:numPr>
        <w:pBdr>
          <w:top w:val="nil"/>
          <w:left w:val="nil"/>
          <w:bottom w:val="nil"/>
          <w:right w:val="nil"/>
          <w:between w:val="nil"/>
        </w:pBdr>
        <w:ind w:left="1560"/>
        <w:rPr>
          <w:color w:val="000000"/>
        </w:rPr>
      </w:pPr>
      <w:r>
        <w:rPr>
          <w:color w:val="000000"/>
        </w:rPr>
        <w:t>the required supporting documents,</w:t>
      </w:r>
    </w:p>
    <w:p w14:paraId="6CDA9E59" w14:textId="77777777" w:rsidR="00980EDA" w:rsidRDefault="00000000">
      <w:pPr>
        <w:numPr>
          <w:ilvl w:val="0"/>
          <w:numId w:val="7"/>
        </w:numPr>
        <w:pBdr>
          <w:top w:val="nil"/>
          <w:left w:val="nil"/>
          <w:bottom w:val="nil"/>
          <w:right w:val="nil"/>
          <w:between w:val="nil"/>
        </w:pBdr>
        <w:ind w:left="1560"/>
      </w:pPr>
      <w:r>
        <w:rPr>
          <w:color w:val="000000"/>
        </w:rPr>
        <w:t>available public legal and administrative services.</w:t>
      </w:r>
    </w:p>
    <w:p w14:paraId="19F9BDF6" w14:textId="77777777" w:rsidR="00980EDA" w:rsidRDefault="00000000">
      <w:pPr>
        <w:numPr>
          <w:ilvl w:val="0"/>
          <w:numId w:val="7"/>
        </w:numPr>
        <w:pBdr>
          <w:top w:val="nil"/>
          <w:left w:val="nil"/>
          <w:bottom w:val="nil"/>
          <w:right w:val="nil"/>
          <w:between w:val="nil"/>
        </w:pBdr>
        <w:ind w:left="1560"/>
      </w:pPr>
      <w:r>
        <w:rPr>
          <w:color w:val="000000"/>
        </w:rPr>
        <w:t>access to public services such as the Civil Registry Office (</w:t>
      </w:r>
      <w:r>
        <w:rPr>
          <w:i/>
          <w:iCs/>
          <w:color w:val="000000"/>
        </w:rPr>
        <w:t>Disdukcapil</w:t>
      </w:r>
      <w:r>
        <w:rPr>
          <w:color w:val="000000"/>
        </w:rPr>
        <w:t>), the Office of Religious Affairs (</w:t>
      </w:r>
      <w:r>
        <w:rPr>
          <w:i/>
          <w:iCs/>
          <w:color w:val="000000"/>
        </w:rPr>
        <w:t>KUA</w:t>
      </w:r>
      <w:r>
        <w:rPr>
          <w:color w:val="000000"/>
        </w:rPr>
        <w:t>), and legal aid services.</w:t>
      </w:r>
    </w:p>
    <w:p w14:paraId="1CF94323" w14:textId="77777777" w:rsidR="00980EDA" w:rsidRDefault="00000000">
      <w:pPr>
        <w:ind w:left="851" w:firstLine="709"/>
      </w:pPr>
      <w:r>
        <w:t>Its long-term impact is the enhancement of the community’s ability to make appropriate legal decisions and to prevent harmful practices such as unregistered marriages (</w:t>
      </w:r>
      <w:r>
        <w:rPr>
          <w:i/>
          <w:iCs/>
        </w:rPr>
        <w:t>nikah siri</w:t>
      </w:r>
      <w:r>
        <w:t>), child marriage, and informal divorces.</w:t>
      </w:r>
    </w:p>
    <w:p w14:paraId="2191551B" w14:textId="77777777" w:rsidR="00980EDA" w:rsidRDefault="00980EDA"/>
    <w:p w14:paraId="5F7AB9E9" w14:textId="77777777" w:rsidR="00980EDA" w:rsidRDefault="00000000">
      <w:pPr>
        <w:numPr>
          <w:ilvl w:val="0"/>
          <w:numId w:val="10"/>
        </w:numPr>
        <w:ind w:left="426" w:hanging="426"/>
        <w:rPr>
          <w:b/>
          <w:bCs/>
        </w:rPr>
      </w:pPr>
      <w:r>
        <w:rPr>
          <w:b/>
          <w:bCs/>
        </w:rPr>
        <w:t>CONCLUSION</w:t>
      </w:r>
    </w:p>
    <w:p w14:paraId="023AF5F7" w14:textId="77777777" w:rsidR="00980EDA" w:rsidRDefault="00000000">
      <w:pPr>
        <w:ind w:firstLine="567"/>
      </w:pPr>
      <w:r>
        <w:t>The registration of key family events is a vital instrument for ensuring the continuity of legal protection for families, particularly women and children. The PKM activities conducted in Ciruas Subdistrict demonstrate that legal literacy concerning civil registration remains low and requires educational intervention. The state bears the obligation to ensure accessible procedures for registering family events as part of its duty to protect citizens’ fundamental rights. Moving forward, stronger synergy between local governments, village authorities, and legal education institutions is needed to reinforce a culture of orderly and accurate family civil administration.</w:t>
      </w:r>
    </w:p>
    <w:p w14:paraId="2AFAC1CC" w14:textId="77777777" w:rsidR="00980EDA" w:rsidRDefault="00980EDA">
      <w:pPr>
        <w:ind w:firstLine="567"/>
      </w:pPr>
    </w:p>
    <w:p w14:paraId="70E98A5F" w14:textId="77777777" w:rsidR="00980EDA" w:rsidRDefault="00000000">
      <w:pPr>
        <w:rPr>
          <w:b/>
          <w:bCs/>
        </w:rPr>
      </w:pPr>
      <w:r>
        <w:rPr>
          <w:b/>
          <w:bCs/>
        </w:rPr>
        <w:t>REFERENCES</w:t>
      </w:r>
    </w:p>
    <w:p w14:paraId="4A6E587F" w14:textId="77777777" w:rsidR="00980EDA" w:rsidRDefault="00000000">
      <w:pPr>
        <w:pBdr>
          <w:top w:val="nil"/>
          <w:left w:val="nil"/>
          <w:bottom w:val="nil"/>
          <w:right w:val="nil"/>
          <w:between w:val="nil"/>
        </w:pBdr>
        <w:spacing w:line="240" w:lineRule="auto"/>
        <w:ind w:left="720" w:hanging="720"/>
        <w:rPr>
          <w:color w:val="000000"/>
        </w:rPr>
      </w:pPr>
      <w:r>
        <w:rPr>
          <w:color w:val="000000"/>
        </w:rPr>
        <w:t xml:space="preserve">Amajihono, K. D. (2018). Akibat Hukum Perceraian Dari Perkawinan Yang Tidak Dicatatkan Di Kantor Catatan Sipil. </w:t>
      </w:r>
      <w:r>
        <w:rPr>
          <w:i/>
          <w:iCs/>
          <w:color w:val="000000"/>
        </w:rPr>
        <w:t>Jurnal Education and development  Institut Pendidikan Tapanuli Selatan</w:t>
      </w:r>
      <w:r>
        <w:rPr>
          <w:color w:val="000000"/>
        </w:rPr>
        <w:t xml:space="preserve">, </w:t>
      </w:r>
      <w:r>
        <w:rPr>
          <w:i/>
          <w:iCs/>
          <w:color w:val="000000"/>
        </w:rPr>
        <w:t>6</w:t>
      </w:r>
      <w:r>
        <w:rPr>
          <w:color w:val="000000"/>
        </w:rPr>
        <w:t>(1), 141–153. https://doi.org/10.37081/ed.v6i1.833</w:t>
      </w:r>
    </w:p>
    <w:p w14:paraId="0645CEE4" w14:textId="77777777" w:rsidR="00980EDA" w:rsidRDefault="00980EDA">
      <w:pPr>
        <w:pBdr>
          <w:top w:val="nil"/>
          <w:left w:val="nil"/>
          <w:bottom w:val="nil"/>
          <w:right w:val="nil"/>
          <w:between w:val="nil"/>
        </w:pBdr>
        <w:spacing w:line="240" w:lineRule="auto"/>
        <w:ind w:left="720" w:hanging="720"/>
        <w:rPr>
          <w:color w:val="000000"/>
        </w:rPr>
      </w:pPr>
    </w:p>
    <w:p w14:paraId="3F1EB0A2" w14:textId="77777777" w:rsidR="00980EDA" w:rsidRDefault="00000000">
      <w:pPr>
        <w:pBdr>
          <w:top w:val="nil"/>
          <w:left w:val="nil"/>
          <w:bottom w:val="nil"/>
          <w:right w:val="nil"/>
          <w:between w:val="nil"/>
        </w:pBdr>
        <w:spacing w:line="240" w:lineRule="auto"/>
        <w:ind w:left="720" w:hanging="720"/>
        <w:rPr>
          <w:color w:val="000000"/>
        </w:rPr>
      </w:pPr>
      <w:r>
        <w:rPr>
          <w:color w:val="000000"/>
        </w:rPr>
        <w:t xml:space="preserve">Aziz, H. (2018). Perlindungan Hukum Bagi Anak Dalam Memperoleh Akta Kelahiran Berdasarkan Prinsip-Prinsip Perlindungan Anak. </w:t>
      </w:r>
      <w:r>
        <w:rPr>
          <w:i/>
          <w:iCs/>
          <w:color w:val="000000"/>
        </w:rPr>
        <w:t>Lex Jurnalica</w:t>
      </w:r>
      <w:r>
        <w:rPr>
          <w:color w:val="000000"/>
        </w:rPr>
        <w:t xml:space="preserve">, </w:t>
      </w:r>
      <w:r>
        <w:rPr>
          <w:i/>
          <w:iCs/>
          <w:color w:val="000000"/>
        </w:rPr>
        <w:t>15</w:t>
      </w:r>
      <w:r>
        <w:rPr>
          <w:color w:val="000000"/>
        </w:rPr>
        <w:t>(1), 56–66.</w:t>
      </w:r>
    </w:p>
    <w:p w14:paraId="176B0C59" w14:textId="77777777" w:rsidR="00980EDA" w:rsidRDefault="00980EDA">
      <w:pPr>
        <w:pBdr>
          <w:top w:val="nil"/>
          <w:left w:val="nil"/>
          <w:bottom w:val="nil"/>
          <w:right w:val="nil"/>
          <w:between w:val="nil"/>
        </w:pBdr>
        <w:spacing w:line="240" w:lineRule="auto"/>
        <w:ind w:left="720" w:hanging="720"/>
        <w:rPr>
          <w:color w:val="000000"/>
        </w:rPr>
      </w:pPr>
    </w:p>
    <w:p w14:paraId="00C56F7A" w14:textId="77777777" w:rsidR="00980EDA" w:rsidRDefault="00000000">
      <w:pPr>
        <w:pBdr>
          <w:top w:val="nil"/>
          <w:left w:val="nil"/>
          <w:bottom w:val="nil"/>
          <w:right w:val="nil"/>
          <w:between w:val="nil"/>
        </w:pBdr>
        <w:spacing w:line="240" w:lineRule="auto"/>
        <w:ind w:left="720" w:hanging="720"/>
        <w:rPr>
          <w:color w:val="000000"/>
        </w:rPr>
      </w:pPr>
      <w:r>
        <w:rPr>
          <w:color w:val="000000"/>
        </w:rPr>
        <w:t xml:space="preserve">Isnaini, I., Wisnaeni, F., &amp; Paramita Prabandari, A. (2021). Perlindungan Hukum Terhadap Anak Luar Kawin Dalam Pembuatan Akta Kelahiran: Studi Kasus Dinas Kependudukan Dan Pencatatan Sipil Kota Semarang. </w:t>
      </w:r>
      <w:r>
        <w:rPr>
          <w:i/>
          <w:iCs/>
          <w:color w:val="000000"/>
        </w:rPr>
        <w:t>Notarius</w:t>
      </w:r>
      <w:r>
        <w:rPr>
          <w:color w:val="000000"/>
        </w:rPr>
        <w:t xml:space="preserve">, </w:t>
      </w:r>
      <w:r>
        <w:rPr>
          <w:i/>
          <w:iCs/>
          <w:color w:val="000000"/>
        </w:rPr>
        <w:t>14</w:t>
      </w:r>
      <w:r>
        <w:rPr>
          <w:color w:val="000000"/>
        </w:rPr>
        <w:t>(1), 221–235. https://doi.org/10.14710/nts.v14i1.39237</w:t>
      </w:r>
    </w:p>
    <w:p w14:paraId="31525730" w14:textId="77777777" w:rsidR="00980EDA" w:rsidRDefault="00980EDA">
      <w:pPr>
        <w:pBdr>
          <w:top w:val="nil"/>
          <w:left w:val="nil"/>
          <w:bottom w:val="nil"/>
          <w:right w:val="nil"/>
          <w:between w:val="nil"/>
        </w:pBdr>
        <w:spacing w:line="240" w:lineRule="auto"/>
        <w:ind w:left="720" w:hanging="720"/>
        <w:rPr>
          <w:color w:val="000000"/>
        </w:rPr>
      </w:pPr>
    </w:p>
    <w:p w14:paraId="3EE7AB4C" w14:textId="77777777" w:rsidR="00980EDA" w:rsidRDefault="00000000">
      <w:pPr>
        <w:spacing w:line="240" w:lineRule="auto"/>
      </w:pPr>
      <w:r>
        <w:t>Kompilasi Hukum Islam.</w:t>
      </w:r>
    </w:p>
    <w:p w14:paraId="58A3664D" w14:textId="77777777" w:rsidR="00980EDA" w:rsidRDefault="00980EDA">
      <w:pPr>
        <w:spacing w:line="240" w:lineRule="auto"/>
      </w:pPr>
    </w:p>
    <w:p w14:paraId="0F98787C" w14:textId="77777777" w:rsidR="00980EDA" w:rsidRDefault="00000000">
      <w:pPr>
        <w:pBdr>
          <w:top w:val="nil"/>
          <w:left w:val="nil"/>
          <w:bottom w:val="nil"/>
          <w:right w:val="nil"/>
          <w:between w:val="nil"/>
        </w:pBdr>
        <w:spacing w:line="240" w:lineRule="auto"/>
        <w:ind w:left="720" w:hanging="720"/>
        <w:rPr>
          <w:color w:val="000000"/>
        </w:rPr>
      </w:pPr>
      <w:r>
        <w:rPr>
          <w:color w:val="000000"/>
        </w:rPr>
        <w:t xml:space="preserve">Mubarok, N. (2016). Kebijakan Negara dalam Keterlambatan  Pengurusan Akta Kelahiran Anak. </w:t>
      </w:r>
      <w:r>
        <w:rPr>
          <w:i/>
          <w:iCs/>
          <w:color w:val="000000"/>
        </w:rPr>
        <w:t>Al-Qānūn</w:t>
      </w:r>
      <w:r>
        <w:rPr>
          <w:color w:val="000000"/>
        </w:rPr>
        <w:t xml:space="preserve">, </w:t>
      </w:r>
      <w:r>
        <w:rPr>
          <w:i/>
          <w:iCs/>
          <w:color w:val="000000"/>
        </w:rPr>
        <w:t>19</w:t>
      </w:r>
      <w:r>
        <w:rPr>
          <w:color w:val="000000"/>
        </w:rPr>
        <w:t>(1).</w:t>
      </w:r>
    </w:p>
    <w:p w14:paraId="6752DEB9" w14:textId="77777777" w:rsidR="00980EDA" w:rsidRDefault="00980EDA">
      <w:pPr>
        <w:pBdr>
          <w:top w:val="nil"/>
          <w:left w:val="nil"/>
          <w:bottom w:val="nil"/>
          <w:right w:val="nil"/>
          <w:between w:val="nil"/>
        </w:pBdr>
        <w:spacing w:line="240" w:lineRule="auto"/>
        <w:ind w:left="720" w:hanging="720"/>
        <w:rPr>
          <w:color w:val="000000"/>
        </w:rPr>
      </w:pPr>
    </w:p>
    <w:p w14:paraId="71374974" w14:textId="77777777" w:rsidR="00980EDA" w:rsidRDefault="00000000">
      <w:pPr>
        <w:pBdr>
          <w:top w:val="nil"/>
          <w:left w:val="nil"/>
          <w:bottom w:val="nil"/>
          <w:right w:val="nil"/>
          <w:between w:val="nil"/>
        </w:pBdr>
        <w:spacing w:line="240" w:lineRule="auto"/>
        <w:ind w:left="720" w:hanging="720"/>
        <w:rPr>
          <w:color w:val="000000"/>
        </w:rPr>
      </w:pPr>
      <w:r>
        <w:rPr>
          <w:color w:val="000000"/>
        </w:rPr>
        <w:t>Peraturan Menteri Agama Republik Indonesia Nomor 20 Tahun 2019 Tentang Pencatatan Pernikahan, Legis. No. 1118 Berita Negara Republik Indonesia Tahun 2019, BNRI (2019).</w:t>
      </w:r>
    </w:p>
    <w:p w14:paraId="7109D6B5" w14:textId="77777777" w:rsidR="00980EDA" w:rsidRDefault="00980EDA">
      <w:pPr>
        <w:pBdr>
          <w:top w:val="nil"/>
          <w:left w:val="nil"/>
          <w:bottom w:val="nil"/>
          <w:right w:val="nil"/>
          <w:between w:val="nil"/>
        </w:pBdr>
        <w:spacing w:line="240" w:lineRule="auto"/>
        <w:ind w:left="720" w:hanging="720"/>
        <w:rPr>
          <w:color w:val="000000"/>
        </w:rPr>
      </w:pPr>
    </w:p>
    <w:p w14:paraId="217EC96E" w14:textId="77777777" w:rsidR="00980EDA" w:rsidRDefault="00000000">
      <w:pPr>
        <w:pBdr>
          <w:top w:val="nil"/>
          <w:left w:val="nil"/>
          <w:bottom w:val="nil"/>
          <w:right w:val="nil"/>
          <w:between w:val="nil"/>
        </w:pBdr>
        <w:spacing w:line="240" w:lineRule="auto"/>
        <w:ind w:left="720" w:hanging="720"/>
        <w:rPr>
          <w:color w:val="000000"/>
        </w:rPr>
      </w:pPr>
      <w:r>
        <w:rPr>
          <w:color w:val="000000"/>
        </w:rPr>
        <w:t>Peraturan Menteri Dalam Negeri Republik Indonesia Nomor 9 Tahun 2016 Tentang Percepatan Peningkatan Cakupan Kepemilikan Akta Kelahiran, Legis. No. 325 Berita Negara Republik Indonesia Tahun 2016, BNRI (2016).</w:t>
      </w:r>
    </w:p>
    <w:p w14:paraId="18023530" w14:textId="77777777" w:rsidR="00980EDA" w:rsidRDefault="00980EDA">
      <w:pPr>
        <w:pBdr>
          <w:top w:val="nil"/>
          <w:left w:val="nil"/>
          <w:bottom w:val="nil"/>
          <w:right w:val="nil"/>
          <w:between w:val="nil"/>
        </w:pBdr>
        <w:spacing w:line="240" w:lineRule="auto"/>
        <w:ind w:left="720" w:hanging="720"/>
        <w:rPr>
          <w:color w:val="000000"/>
        </w:rPr>
      </w:pPr>
    </w:p>
    <w:p w14:paraId="27BF3D11" w14:textId="77777777" w:rsidR="00980EDA" w:rsidRDefault="00000000">
      <w:pPr>
        <w:pBdr>
          <w:top w:val="nil"/>
          <w:left w:val="nil"/>
          <w:bottom w:val="nil"/>
          <w:right w:val="nil"/>
          <w:between w:val="nil"/>
        </w:pBdr>
        <w:spacing w:line="240" w:lineRule="auto"/>
        <w:ind w:left="720" w:hanging="720"/>
        <w:rPr>
          <w:color w:val="000000"/>
        </w:rPr>
      </w:pPr>
      <w:r>
        <w:rPr>
          <w:color w:val="000000"/>
        </w:rPr>
        <w:t>Peraturan Pemerintah Republik Indonesia Nomor 9 Tahun 1975 Tentang Pelaksanaan Undang-Undang Nomor 1 Tahun 1974 Tentang Perkawinan, Legis. No. 12 Lembaran Negara Republik Indonesia Tahun 1975 Tambahan Lembaran Negara Republik Indonesia Nomor 2050., LNRI (1975).</w:t>
      </w:r>
    </w:p>
    <w:p w14:paraId="6E968BB7" w14:textId="77777777" w:rsidR="00980EDA" w:rsidRDefault="00980EDA">
      <w:pPr>
        <w:pBdr>
          <w:top w:val="nil"/>
          <w:left w:val="nil"/>
          <w:bottom w:val="nil"/>
          <w:right w:val="nil"/>
          <w:between w:val="nil"/>
        </w:pBdr>
        <w:spacing w:line="240" w:lineRule="auto"/>
        <w:ind w:left="720" w:hanging="720"/>
        <w:rPr>
          <w:color w:val="000000"/>
        </w:rPr>
      </w:pPr>
    </w:p>
    <w:p w14:paraId="207AE3D1" w14:textId="77777777" w:rsidR="00980EDA" w:rsidRDefault="00000000">
      <w:pPr>
        <w:pBdr>
          <w:top w:val="nil"/>
          <w:left w:val="nil"/>
          <w:bottom w:val="nil"/>
          <w:right w:val="nil"/>
          <w:between w:val="nil"/>
        </w:pBdr>
        <w:spacing w:line="240" w:lineRule="auto"/>
        <w:ind w:left="720" w:hanging="720"/>
        <w:rPr>
          <w:color w:val="000000"/>
        </w:rPr>
      </w:pPr>
      <w:r>
        <w:rPr>
          <w:color w:val="000000"/>
        </w:rPr>
        <w:lastRenderedPageBreak/>
        <w:t xml:space="preserve">Pratiwi, S. A. (2022). Analisis Perlindungan Hukum Terhadap Anak Dari Perkawinan Tidak Tercatat Pasca Berlakunya Peraturan Mendagri Nomor 9 Tahun 2016. </w:t>
      </w:r>
      <w:r>
        <w:rPr>
          <w:i/>
          <w:iCs/>
          <w:color w:val="000000"/>
        </w:rPr>
        <w:t>Jurnal Ilmiah Mahasiswa Hukum [JIMHUM]</w:t>
      </w:r>
      <w:r>
        <w:rPr>
          <w:color w:val="000000"/>
        </w:rPr>
        <w:t xml:space="preserve">, </w:t>
      </w:r>
      <w:r>
        <w:rPr>
          <w:i/>
          <w:iCs/>
          <w:color w:val="000000"/>
        </w:rPr>
        <w:t>2</w:t>
      </w:r>
      <w:r>
        <w:rPr>
          <w:color w:val="000000"/>
        </w:rPr>
        <w:t>(2), 1–9.</w:t>
      </w:r>
    </w:p>
    <w:p w14:paraId="258297FA" w14:textId="77777777" w:rsidR="00980EDA" w:rsidRDefault="00980EDA">
      <w:pPr>
        <w:pBdr>
          <w:top w:val="nil"/>
          <w:left w:val="nil"/>
          <w:bottom w:val="nil"/>
          <w:right w:val="nil"/>
          <w:between w:val="nil"/>
        </w:pBdr>
        <w:spacing w:line="240" w:lineRule="auto"/>
        <w:ind w:left="720" w:hanging="720"/>
        <w:rPr>
          <w:color w:val="000000"/>
        </w:rPr>
      </w:pPr>
    </w:p>
    <w:p w14:paraId="1E0D1D80" w14:textId="77777777" w:rsidR="00980EDA" w:rsidRDefault="00000000">
      <w:pPr>
        <w:pBdr>
          <w:top w:val="nil"/>
          <w:left w:val="nil"/>
          <w:bottom w:val="nil"/>
          <w:right w:val="nil"/>
          <w:between w:val="nil"/>
        </w:pBdr>
        <w:spacing w:line="240" w:lineRule="auto"/>
        <w:ind w:left="720" w:hanging="720"/>
        <w:rPr>
          <w:color w:val="000000"/>
        </w:rPr>
      </w:pPr>
      <w:r>
        <w:rPr>
          <w:color w:val="000000"/>
        </w:rPr>
        <w:t xml:space="preserve">Sukiati, S., &amp; Bancin, R. L. (2020). Perlindungan Perempuan Dan Anak: Studi Akibat Hukum Pengabaian Pencatatan Perkawinan. </w:t>
      </w:r>
      <w:r>
        <w:rPr>
          <w:i/>
          <w:iCs/>
          <w:color w:val="000000"/>
        </w:rPr>
        <w:t>Gender Equality: International Journal of Child and Gender Studies</w:t>
      </w:r>
      <w:r>
        <w:rPr>
          <w:color w:val="000000"/>
        </w:rPr>
        <w:t xml:space="preserve">, </w:t>
      </w:r>
      <w:r>
        <w:rPr>
          <w:i/>
          <w:iCs/>
          <w:color w:val="000000"/>
        </w:rPr>
        <w:t>6</w:t>
      </w:r>
      <w:r>
        <w:rPr>
          <w:color w:val="000000"/>
        </w:rPr>
        <w:t>(1), 121. https://doi.org/10.22373/equality.v6i1.5633</w:t>
      </w:r>
    </w:p>
    <w:p w14:paraId="78317C81" w14:textId="77777777" w:rsidR="00980EDA" w:rsidRDefault="00980EDA"/>
    <w:p w14:paraId="1D826C3B" w14:textId="77777777" w:rsidR="00980EDA" w:rsidRDefault="00000000">
      <w:pPr>
        <w:pBdr>
          <w:top w:val="nil"/>
          <w:left w:val="nil"/>
          <w:bottom w:val="nil"/>
          <w:right w:val="nil"/>
          <w:between w:val="nil"/>
        </w:pBdr>
        <w:spacing w:line="240" w:lineRule="auto"/>
        <w:ind w:left="720" w:hanging="720"/>
        <w:rPr>
          <w:color w:val="000000"/>
        </w:rPr>
      </w:pPr>
      <w:r>
        <w:rPr>
          <w:color w:val="000000"/>
        </w:rPr>
        <w:t>Undang-undang Republik Indonesia Nomor 1 Tahun 1974 Tentang Perkawinan, Pub. L. No. 1 Lembaran Negara Republik Indonesia Tahun 1974 Tambahan Lembaran Negara Republik Indonesia Nomor 2019., LNRI (1974).</w:t>
      </w:r>
    </w:p>
    <w:p w14:paraId="2F7EE794" w14:textId="77777777" w:rsidR="00980EDA" w:rsidRDefault="00980EDA">
      <w:pPr>
        <w:spacing w:line="240" w:lineRule="auto"/>
      </w:pPr>
    </w:p>
    <w:p w14:paraId="3286F1EE" w14:textId="77777777" w:rsidR="00980EDA" w:rsidRDefault="00000000">
      <w:pPr>
        <w:pBdr>
          <w:top w:val="nil"/>
          <w:left w:val="nil"/>
          <w:bottom w:val="nil"/>
          <w:right w:val="nil"/>
          <w:between w:val="nil"/>
        </w:pBdr>
        <w:spacing w:line="240" w:lineRule="auto"/>
        <w:ind w:left="720" w:hanging="720"/>
        <w:rPr>
          <w:color w:val="000000"/>
        </w:rPr>
      </w:pPr>
      <w:r>
        <w:rPr>
          <w:color w:val="000000"/>
        </w:rPr>
        <w:t>Undang-Undang Republik Indonesia Nomor 23 Tahun 2006 Tentang Administrasi Kependudukan, Legis. No. 124 Lembaran Negara Republik Indonesia Tahun 2006 Tambahan Lembaran Negara Republik Indonesia Nomor 4674., LNRI (2006).</w:t>
      </w:r>
    </w:p>
    <w:p w14:paraId="7DFC1724" w14:textId="77777777" w:rsidR="00980EDA" w:rsidRDefault="00980EDA">
      <w:pPr>
        <w:pBdr>
          <w:top w:val="nil"/>
          <w:left w:val="nil"/>
          <w:bottom w:val="nil"/>
          <w:right w:val="nil"/>
          <w:between w:val="nil"/>
        </w:pBdr>
        <w:spacing w:line="240" w:lineRule="auto"/>
        <w:ind w:left="720" w:hanging="720"/>
        <w:rPr>
          <w:color w:val="000000"/>
        </w:rPr>
      </w:pPr>
    </w:p>
    <w:p w14:paraId="4B10BE8F" w14:textId="77777777" w:rsidR="00980EDA" w:rsidRDefault="00000000">
      <w:pPr>
        <w:pBdr>
          <w:top w:val="nil"/>
          <w:left w:val="nil"/>
          <w:bottom w:val="nil"/>
          <w:right w:val="nil"/>
          <w:between w:val="nil"/>
        </w:pBdr>
        <w:spacing w:line="240" w:lineRule="auto"/>
        <w:ind w:left="720" w:hanging="720"/>
        <w:rPr>
          <w:color w:val="000000"/>
        </w:rPr>
      </w:pPr>
      <w:r>
        <w:rPr>
          <w:color w:val="000000"/>
        </w:rPr>
        <w:t>Undang-Undang Republik Indonesia Nomor 24 Tahun 2013 Tentang Perubahan Atas Undang-Undang Nomor 23 Tahun 2006 Tentang Administrasi Kependudukan, Legis. No. 232 Lembaran Negara Republik Indonesia Tahun 2013 Tambahan Lembaran Negara Republik Indonesia Nomor 5475., LNRI (2013).</w:t>
      </w:r>
    </w:p>
    <w:p w14:paraId="5C6B3ECD" w14:textId="77777777" w:rsidR="00980EDA" w:rsidRDefault="00980EDA">
      <w:pPr>
        <w:pBdr>
          <w:top w:val="nil"/>
          <w:left w:val="nil"/>
          <w:bottom w:val="nil"/>
          <w:right w:val="nil"/>
          <w:between w:val="nil"/>
        </w:pBdr>
        <w:spacing w:line="240" w:lineRule="auto"/>
        <w:ind w:left="720" w:hanging="720"/>
        <w:rPr>
          <w:color w:val="000000"/>
        </w:rPr>
      </w:pPr>
    </w:p>
    <w:p w14:paraId="195529EC" w14:textId="77777777" w:rsidR="00980EDA" w:rsidRDefault="00000000">
      <w:pPr>
        <w:pBdr>
          <w:top w:val="nil"/>
          <w:left w:val="nil"/>
          <w:bottom w:val="nil"/>
          <w:right w:val="nil"/>
          <w:between w:val="nil"/>
        </w:pBdr>
        <w:spacing w:line="240" w:lineRule="auto"/>
        <w:ind w:left="720" w:hanging="720"/>
        <w:rPr>
          <w:color w:val="000000"/>
        </w:rPr>
      </w:pPr>
      <w:r>
        <w:rPr>
          <w:color w:val="000000"/>
        </w:rPr>
        <w:t>Undang-Undang Republik Indonesia Nomor 35 Tahun 2014 Tentang Perubahan Atas Undang-Undang Nomor 23 Tahun 2002 Tentang Perlindungan Anak, Legis. No. 297 Lembaran Negara Republik Indonesia Tahun 2014 Tambahan Lembaran Negara Republik Indonesia Nomor 5606., LNRI (2014).</w:t>
      </w:r>
    </w:p>
    <w:p w14:paraId="73360857" w14:textId="77777777" w:rsidR="00980EDA" w:rsidRDefault="00980EDA">
      <w:pPr>
        <w:spacing w:line="240" w:lineRule="auto"/>
      </w:pPr>
    </w:p>
    <w:sectPr w:rsidR="00980EDA">
      <w:headerReference w:type="even" r:id="rId9"/>
      <w:headerReference w:type="default" r:id="rId10"/>
      <w:footerReference w:type="even" r:id="rId11"/>
      <w:footerReference w:type="default" r:id="rId12"/>
      <w:footerReference w:type="first" r:id="rId13"/>
      <w:pgSz w:w="11906" w:h="16838"/>
      <w:pgMar w:top="1440" w:right="1440" w:bottom="1440" w:left="1440" w:header="708" w:footer="708" w:gutter="0"/>
      <w:pgNumType w:start="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73BA" w14:textId="77777777" w:rsidR="00EF3469" w:rsidRDefault="00EF3469">
      <w:pPr>
        <w:spacing w:line="240" w:lineRule="auto"/>
      </w:pPr>
      <w:r>
        <w:separator/>
      </w:r>
    </w:p>
  </w:endnote>
  <w:endnote w:type="continuationSeparator" w:id="0">
    <w:p w14:paraId="6D078820" w14:textId="77777777" w:rsidR="00EF3469" w:rsidRDefault="00EF3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CD5BDFD-9892-46E1-9731-441CE37AB10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3B13C9A-FB3C-4DAF-B6D4-80980A5EBC42}"/>
    <w:embedItalic r:id="rId3" w:fontKey="{DC2A1E2E-0295-49B2-99FA-E90828BEFAE5}"/>
  </w:font>
  <w:font w:name="Cambria">
    <w:panose1 w:val="02040503050406030204"/>
    <w:charset w:val="00"/>
    <w:family w:val="roman"/>
    <w:pitch w:val="variable"/>
    <w:sig w:usb0="E00006FF" w:usb1="420024FF" w:usb2="02000000" w:usb3="00000000" w:csb0="0000019F" w:csb1="00000000"/>
    <w:embedRegular r:id="rId4" w:fontKey="{1C981193-6FB8-410F-82A7-17D4EF1BEE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E187" w14:textId="4DDD630A" w:rsidR="00980EDA" w:rsidRDefault="00000000">
    <w:pPr>
      <w:pBdr>
        <w:top w:val="nil"/>
        <w:left w:val="nil"/>
        <w:bottom w:val="nil"/>
        <w:right w:val="nil"/>
        <w:between w:val="nil"/>
      </w:pBdr>
      <w:tabs>
        <w:tab w:val="center" w:pos="4513"/>
        <w:tab w:val="right" w:pos="9026"/>
      </w:tabs>
      <w:spacing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D8173E">
      <w:rPr>
        <w:noProof/>
        <w:color w:val="000000"/>
        <w:sz w:val="18"/>
        <w:szCs w:val="18"/>
      </w:rPr>
      <w:t>54</w:t>
    </w:r>
    <w:r>
      <w:rPr>
        <w:color w:val="000000"/>
        <w:sz w:val="18"/>
        <w:szCs w:val="18"/>
      </w:rPr>
      <w:fldChar w:fldCharType="end"/>
    </w:r>
    <w:r>
      <w:rPr>
        <w:noProof/>
      </w:rPr>
      <mc:AlternateContent>
        <mc:Choice Requires="wpg">
          <w:drawing>
            <wp:anchor distT="45720" distB="45720" distL="114300" distR="114300" simplePos="0" relativeHeight="251659264" behindDoc="0" locked="0" layoutInCell="1" hidden="0" allowOverlap="1" wp14:anchorId="55746EA1" wp14:editId="6EC4FBF0">
              <wp:simplePos x="0" y="0"/>
              <wp:positionH relativeFrom="column">
                <wp:posOffset>404813</wp:posOffset>
              </wp:positionH>
              <wp:positionV relativeFrom="paragraph">
                <wp:posOffset>-326071</wp:posOffset>
              </wp:positionV>
              <wp:extent cx="5086350" cy="141414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2807588" y="3077690"/>
                        <a:ext cx="5076825" cy="1404620"/>
                      </a:xfrm>
                      <a:prstGeom prst="rect">
                        <a:avLst/>
                      </a:prstGeom>
                      <a:solidFill>
                        <a:srgbClr val="FFFFFF"/>
                      </a:solidFill>
                      <a:ln>
                        <a:noFill/>
                      </a:ln>
                    </wps:spPr>
                    <wps:txbx>
                      <w:txbxContent>
                        <w:p w14:paraId="107AF579" w14:textId="77777777" w:rsidR="00980EDA" w:rsidRDefault="00000000">
                          <w:pPr>
                            <w:jc w:val="center"/>
                            <w:textDirection w:val="btLr"/>
                          </w:pPr>
                          <w:r>
                            <w:rPr>
                              <w:color w:val="000000"/>
                              <w:sz w:val="16"/>
                            </w:rPr>
                            <w:t>The International Conference on State, Law, Politics &amp; Democracy (ICON SLPD)  Vol. X  Issue x , Desember  (2025)</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404813</wp:posOffset>
              </wp:positionH>
              <wp:positionV relativeFrom="paragraph">
                <wp:posOffset>-326071</wp:posOffset>
              </wp:positionV>
              <wp:extent cx="5086350" cy="1414145"/>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086350" cy="141414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5F90" w14:textId="77777777" w:rsidR="00980EDA" w:rsidRDefault="00000000">
    <w:pPr>
      <w:pBdr>
        <w:top w:val="nil"/>
        <w:left w:val="nil"/>
        <w:bottom w:val="nil"/>
        <w:right w:val="nil"/>
        <w:between w:val="nil"/>
      </w:pBdr>
      <w:tabs>
        <w:tab w:val="center" w:pos="4513"/>
        <w:tab w:val="right" w:pos="9026"/>
      </w:tabs>
      <w:spacing w:line="240" w:lineRule="auto"/>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D8173E">
      <w:rPr>
        <w:noProof/>
        <w:color w:val="000000"/>
        <w:sz w:val="18"/>
        <w:szCs w:val="18"/>
      </w:rPr>
      <w:t>5</w:t>
    </w:r>
    <w:r w:rsidR="00D8173E">
      <w:rPr>
        <w:noProof/>
        <w:color w:val="000000"/>
        <w:sz w:val="18"/>
        <w:szCs w:val="18"/>
      </w:rPr>
      <w:t>3</w:t>
    </w:r>
    <w:r>
      <w:rPr>
        <w:color w:val="000000"/>
        <w:sz w:val="18"/>
        <w:szCs w:val="18"/>
      </w:rPr>
      <w:fldChar w:fldCharType="end"/>
    </w:r>
    <w:r>
      <w:rPr>
        <w:noProof/>
      </w:rPr>
      <mc:AlternateContent>
        <mc:Choice Requires="wpg">
          <w:drawing>
            <wp:anchor distT="45720" distB="45720" distL="114300" distR="114300" simplePos="0" relativeHeight="251658240" behindDoc="0" locked="0" layoutInCell="1" hidden="0" allowOverlap="1" wp14:anchorId="16022425" wp14:editId="6B315FF4">
              <wp:simplePos x="0" y="0"/>
              <wp:positionH relativeFrom="column">
                <wp:posOffset>309563</wp:posOffset>
              </wp:positionH>
              <wp:positionV relativeFrom="paragraph">
                <wp:posOffset>-206691</wp:posOffset>
              </wp:positionV>
              <wp:extent cx="5086350" cy="141414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807588" y="3077690"/>
                        <a:ext cx="5076825" cy="1404620"/>
                      </a:xfrm>
                      <a:prstGeom prst="rect">
                        <a:avLst/>
                      </a:prstGeom>
                      <a:solidFill>
                        <a:srgbClr val="FFFFFF"/>
                      </a:solidFill>
                      <a:ln>
                        <a:noFill/>
                      </a:ln>
                    </wps:spPr>
                    <wps:txbx>
                      <w:txbxContent>
                        <w:p w14:paraId="603AFC8A" w14:textId="77777777" w:rsidR="00980EDA" w:rsidRDefault="00000000">
                          <w:pPr>
                            <w:jc w:val="center"/>
                            <w:textDirection w:val="btLr"/>
                          </w:pPr>
                          <w:r>
                            <w:rPr>
                              <w:color w:val="000000"/>
                              <w:sz w:val="16"/>
                            </w:rPr>
                            <w:t>The International Conference on State, Law, Politics &amp; Democracy (ICON SLPD)  Vol. X  Issue x , Desember  (2025)</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309563</wp:posOffset>
              </wp:positionH>
              <wp:positionV relativeFrom="paragraph">
                <wp:posOffset>-206691</wp:posOffset>
              </wp:positionV>
              <wp:extent cx="5086350" cy="141414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86350" cy="141414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9E78" w14:textId="77777777" w:rsidR="00980EDA" w:rsidRDefault="00000000">
    <w:pPr>
      <w:pBdr>
        <w:top w:val="nil"/>
        <w:left w:val="nil"/>
        <w:bottom w:val="nil"/>
        <w:right w:val="nil"/>
        <w:between w:val="nil"/>
      </w:pBdr>
      <w:tabs>
        <w:tab w:val="center" w:pos="4513"/>
        <w:tab w:val="right" w:pos="9026"/>
      </w:tabs>
      <w:spacing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D8173E">
      <w:rPr>
        <w:noProof/>
        <w:color w:val="000000"/>
        <w:sz w:val="18"/>
        <w:szCs w:val="18"/>
      </w:rPr>
      <w:t>52</w:t>
    </w:r>
    <w:r>
      <w:rPr>
        <w:color w:val="000000"/>
        <w:sz w:val="18"/>
        <w:szCs w:val="18"/>
      </w:rPr>
      <w:fldChar w:fldCharType="end"/>
    </w:r>
  </w:p>
  <w:p w14:paraId="21EA47F3" w14:textId="77777777" w:rsidR="00980EDA" w:rsidRDefault="00980EDA">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BBB1" w14:textId="77777777" w:rsidR="00EF3469" w:rsidRDefault="00EF3469">
      <w:pPr>
        <w:spacing w:line="240" w:lineRule="auto"/>
      </w:pPr>
      <w:r>
        <w:separator/>
      </w:r>
    </w:p>
  </w:footnote>
  <w:footnote w:type="continuationSeparator" w:id="0">
    <w:p w14:paraId="30E20BF3" w14:textId="77777777" w:rsidR="00EF3469" w:rsidRDefault="00EF34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A342" w14:textId="77777777" w:rsidR="00980EDA" w:rsidRDefault="00000000">
    <w:pPr>
      <w:pBdr>
        <w:top w:val="nil"/>
        <w:left w:val="nil"/>
        <w:bottom w:val="nil"/>
        <w:right w:val="nil"/>
        <w:between w:val="nil"/>
      </w:pBdr>
      <w:tabs>
        <w:tab w:val="center" w:pos="4513"/>
        <w:tab w:val="right" w:pos="9026"/>
      </w:tabs>
      <w:spacing w:line="240" w:lineRule="auto"/>
      <w:jc w:val="center"/>
      <w:rPr>
        <w:color w:val="000000"/>
        <w:sz w:val="16"/>
        <w:szCs w:val="16"/>
      </w:rPr>
    </w:pPr>
    <w:r>
      <w:rPr>
        <w:color w:val="000000"/>
        <w:sz w:val="16"/>
        <w:szCs w:val="16"/>
      </w:rPr>
      <w:t>The Urgency of Registering Marriages, Births, and Divorces for the Legal Protection of Families: A Community Service Study among PKH Beneficiaries in Ciruas Subdistrict, Serang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F848" w14:textId="77777777" w:rsidR="00980EDA" w:rsidRDefault="00000000">
    <w:pPr>
      <w:pBdr>
        <w:top w:val="nil"/>
        <w:left w:val="nil"/>
        <w:bottom w:val="nil"/>
        <w:right w:val="nil"/>
        <w:between w:val="nil"/>
      </w:pBdr>
      <w:tabs>
        <w:tab w:val="center" w:pos="4513"/>
        <w:tab w:val="right" w:pos="9026"/>
      </w:tabs>
      <w:spacing w:line="240" w:lineRule="auto"/>
      <w:jc w:val="center"/>
      <w:rPr>
        <w:color w:val="000000"/>
        <w:sz w:val="20"/>
        <w:szCs w:val="20"/>
      </w:rPr>
    </w:pPr>
    <w:r>
      <w:rPr>
        <w:color w:val="000000"/>
        <w:sz w:val="16"/>
        <w:szCs w:val="16"/>
      </w:rPr>
      <w:t xml:space="preserve">Elvira, </w:t>
    </w:r>
    <w:r>
      <w:rPr>
        <w:color w:val="000000"/>
        <w:sz w:val="16"/>
        <w:szCs w:val="16"/>
      </w:rPr>
      <w:t>Rendi Tanamo, Renandi Baim Yustiaji, Rini Astuti, Samsul Idhal, Hendro Priono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3F8"/>
    <w:multiLevelType w:val="multilevel"/>
    <w:tmpl w:val="84FEA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AC40E3"/>
    <w:multiLevelType w:val="multilevel"/>
    <w:tmpl w:val="E7EAC0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7700DB6"/>
    <w:multiLevelType w:val="multilevel"/>
    <w:tmpl w:val="4E022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6F765C"/>
    <w:multiLevelType w:val="multilevel"/>
    <w:tmpl w:val="F9747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BD5790"/>
    <w:multiLevelType w:val="multilevel"/>
    <w:tmpl w:val="EE54B65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45D22E8"/>
    <w:multiLevelType w:val="multilevel"/>
    <w:tmpl w:val="CD167C7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4A846C50"/>
    <w:multiLevelType w:val="multilevel"/>
    <w:tmpl w:val="1F74140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ED50B78"/>
    <w:multiLevelType w:val="multilevel"/>
    <w:tmpl w:val="3C783A5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52DA3898"/>
    <w:multiLevelType w:val="multilevel"/>
    <w:tmpl w:val="C6BCC9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71486F"/>
    <w:multiLevelType w:val="multilevel"/>
    <w:tmpl w:val="F6BC1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DB2CFC"/>
    <w:multiLevelType w:val="multilevel"/>
    <w:tmpl w:val="D62252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B07B05"/>
    <w:multiLevelType w:val="multilevel"/>
    <w:tmpl w:val="A95481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720D55"/>
    <w:multiLevelType w:val="multilevel"/>
    <w:tmpl w:val="2BCA29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662DF3"/>
    <w:multiLevelType w:val="multilevel"/>
    <w:tmpl w:val="0CD485D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E432F5B"/>
    <w:multiLevelType w:val="multilevel"/>
    <w:tmpl w:val="0330B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4245113">
    <w:abstractNumId w:val="1"/>
  </w:num>
  <w:num w:numId="2" w16cid:durableId="1773939402">
    <w:abstractNumId w:val="2"/>
  </w:num>
  <w:num w:numId="3" w16cid:durableId="915213974">
    <w:abstractNumId w:val="9"/>
  </w:num>
  <w:num w:numId="4" w16cid:durableId="902594416">
    <w:abstractNumId w:val="8"/>
  </w:num>
  <w:num w:numId="5" w16cid:durableId="359478020">
    <w:abstractNumId w:val="11"/>
  </w:num>
  <w:num w:numId="6" w16cid:durableId="1176724418">
    <w:abstractNumId w:val="3"/>
  </w:num>
  <w:num w:numId="7" w16cid:durableId="2065061546">
    <w:abstractNumId w:val="0"/>
  </w:num>
  <w:num w:numId="8" w16cid:durableId="1728916287">
    <w:abstractNumId w:val="6"/>
  </w:num>
  <w:num w:numId="9" w16cid:durableId="1817261828">
    <w:abstractNumId w:val="13"/>
  </w:num>
  <w:num w:numId="10" w16cid:durableId="479080003">
    <w:abstractNumId w:val="4"/>
  </w:num>
  <w:num w:numId="11" w16cid:durableId="1645037655">
    <w:abstractNumId w:val="5"/>
  </w:num>
  <w:num w:numId="12" w16cid:durableId="132989574">
    <w:abstractNumId w:val="10"/>
  </w:num>
  <w:num w:numId="13" w16cid:durableId="2039314080">
    <w:abstractNumId w:val="14"/>
  </w:num>
  <w:num w:numId="14" w16cid:durableId="1542741508">
    <w:abstractNumId w:val="7"/>
  </w:num>
  <w:num w:numId="15" w16cid:durableId="1232035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EDA"/>
    <w:rsid w:val="00313AC8"/>
    <w:rsid w:val="00980EDA"/>
    <w:rsid w:val="00D8173E"/>
    <w:rsid w:val="00EF34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084D"/>
  <w15:docId w15:val="{C9656011-8286-4BB3-B446-C475AC4D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ID"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pPr>
      <w:spacing w:after="160"/>
    </w:pPr>
    <w:rPr>
      <w:rFonts w:ascii="Calibri" w:eastAsia="Calibri" w:hAnsi="Calibri" w:cs="Calibri"/>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nditanamo@gmai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2324</Words>
  <Characters>13247</Characters>
  <Application>Microsoft Office Word</Application>
  <DocSecurity>0</DocSecurity>
  <Lines>110</Lines>
  <Paragraphs>31</Paragraphs>
  <ScaleCrop>false</ScaleCrop>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azhar fathoni</cp:lastModifiedBy>
  <cp:revision>2</cp:revision>
  <dcterms:created xsi:type="dcterms:W3CDTF">2026-02-21T05:25:00Z</dcterms:created>
  <dcterms:modified xsi:type="dcterms:W3CDTF">2026-02-21T05:27:00Z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id="DSTguDNZ"/&gt;&lt;style id="http://www.zotero.org/styles/apa" locale="en-US" hasBibliography="1" bibliographyStyleHasBeenSet="1"/&gt;&lt;prefs&gt;&lt;pref name="fieldType" value="Field"/&gt;&lt;/prefs&gt;&lt;/data&gt;</vt:lpwstr>
  </property>
</Properties>
</file>