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2EA0" w14:textId="77777777" w:rsidR="009A7D47" w:rsidRDefault="00000000">
      <w:pPr>
        <w:rPr>
          <w:sz w:val="20"/>
          <w:szCs w:val="20"/>
        </w:rPr>
      </w:pPr>
      <w:r>
        <w:rPr>
          <w:noProof/>
        </w:rPr>
        <w:drawing>
          <wp:anchor distT="0" distB="0" distL="0" distR="0" simplePos="0" relativeHeight="251658240" behindDoc="1" locked="0" layoutInCell="1" hidden="0" allowOverlap="1" wp14:anchorId="56289AB7" wp14:editId="6EC43F10">
            <wp:simplePos x="0" y="0"/>
            <wp:positionH relativeFrom="column">
              <wp:posOffset>-384806</wp:posOffset>
            </wp:positionH>
            <wp:positionV relativeFrom="paragraph">
              <wp:posOffset>1905</wp:posOffset>
            </wp:positionV>
            <wp:extent cx="1294771" cy="914400"/>
            <wp:effectExtent l="0" t="0" r="0" b="0"/>
            <wp:wrapNone/>
            <wp:docPr id="2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294771" cy="9144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79B43348" wp14:editId="112055B5">
                <wp:simplePos x="0" y="0"/>
                <wp:positionH relativeFrom="column">
                  <wp:posOffset>904876</wp:posOffset>
                </wp:positionH>
                <wp:positionV relativeFrom="paragraph">
                  <wp:posOffset>-9522</wp:posOffset>
                </wp:positionV>
                <wp:extent cx="4924425" cy="942975"/>
                <wp:effectExtent l="0" t="0" r="0" b="0"/>
                <wp:wrapNone/>
                <wp:docPr id="227" name="Rectangle 227"/>
                <wp:cNvGraphicFramePr/>
                <a:graphic xmlns:a="http://schemas.openxmlformats.org/drawingml/2006/main">
                  <a:graphicData uri="http://schemas.microsoft.com/office/word/2010/wordprocessingShape">
                    <wps:wsp>
                      <wps:cNvSpPr/>
                      <wps:spPr>
                        <a:xfrm>
                          <a:off x="2898075" y="3322800"/>
                          <a:ext cx="4895850" cy="914400"/>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5EA8E894" w14:textId="77777777" w:rsidR="009A7D47" w:rsidRDefault="00000000">
                            <w:pPr>
                              <w:jc w:val="center"/>
                              <w:textDirection w:val="btLr"/>
                            </w:pPr>
                            <w:r>
                              <w:rPr>
                                <w:rFonts w:ascii="Arial Black" w:eastAsia="Arial Black" w:hAnsi="Arial Black" w:cs="Arial Black"/>
                                <w:color w:val="000000"/>
                                <w:sz w:val="28"/>
                              </w:rPr>
                              <w:t>JURNAL AKUNTANSI PERPAJAKAN INDONESIA</w:t>
                            </w:r>
                          </w:p>
                          <w:p w14:paraId="10EF6EB4" w14:textId="77777777" w:rsidR="009A7D47" w:rsidRDefault="00000000">
                            <w:pPr>
                              <w:jc w:val="center"/>
                              <w:textDirection w:val="btLr"/>
                            </w:pPr>
                            <w:r>
                              <w:rPr>
                                <w:rFonts w:ascii="Arial Black" w:eastAsia="Arial Black" w:hAnsi="Arial Black" w:cs="Arial Black"/>
                                <w:color w:val="000000"/>
                                <w:sz w:val="24"/>
                              </w:rPr>
                              <w:t>Indonesian Tax Accounting Journal</w:t>
                            </w:r>
                          </w:p>
                          <w:p w14:paraId="4C76A94F" w14:textId="77777777" w:rsidR="009A7D47" w:rsidRDefault="00000000">
                            <w:pPr>
                              <w:jc w:val="center"/>
                              <w:textDirection w:val="btLr"/>
                            </w:pPr>
                            <w:r>
                              <w:rPr>
                                <w:color w:val="0563C1"/>
                                <w:u w:val="single"/>
                              </w:rPr>
                              <w:t>http://openjournal.unpam.ac.id/index.php/JAPI/issue/current</w:t>
                            </w:r>
                          </w:p>
                          <w:p w14:paraId="7F4A2532" w14:textId="32165D85" w:rsidR="009A7D47" w:rsidRDefault="00000000">
                            <w:pPr>
                              <w:jc w:val="center"/>
                              <w:textDirection w:val="btLr"/>
                            </w:pPr>
                            <w:r>
                              <w:rPr>
                                <w:color w:val="000000"/>
                                <w:sz w:val="20"/>
                              </w:rPr>
                              <w:t xml:space="preserve">Volume </w:t>
                            </w:r>
                            <w:r w:rsidR="001A54D6">
                              <w:rPr>
                                <w:color w:val="000000"/>
                                <w:sz w:val="20"/>
                              </w:rPr>
                              <w:t>5</w:t>
                            </w:r>
                            <w:r>
                              <w:rPr>
                                <w:color w:val="000000"/>
                                <w:sz w:val="20"/>
                              </w:rPr>
                              <w:t xml:space="preserve"> (</w:t>
                            </w:r>
                            <w:r w:rsidR="001A54D6">
                              <w:rPr>
                                <w:color w:val="000000"/>
                                <w:sz w:val="20"/>
                              </w:rPr>
                              <w:t>1</w:t>
                            </w:r>
                            <w:r>
                              <w:rPr>
                                <w:color w:val="000000"/>
                                <w:sz w:val="20"/>
                              </w:rPr>
                              <w:t xml:space="preserve">) 2026,  </w:t>
                            </w:r>
                            <w:r w:rsidR="00375D42">
                              <w:rPr>
                                <w:color w:val="000000"/>
                                <w:sz w:val="20"/>
                              </w:rPr>
                              <w:t>27</w:t>
                            </w:r>
                            <w:r>
                              <w:rPr>
                                <w:color w:val="000000"/>
                                <w:sz w:val="20"/>
                              </w:rPr>
                              <w:t xml:space="preserve"> - </w:t>
                            </w:r>
                            <w:r w:rsidR="00375D42">
                              <w:rPr>
                                <w:color w:val="000000"/>
                                <w:sz w:val="20"/>
                              </w:rPr>
                              <w:t>32</w:t>
                            </w:r>
                          </w:p>
                          <w:p w14:paraId="5A81E5C6" w14:textId="77777777" w:rsidR="009A7D47" w:rsidRDefault="009A7D47">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79B43348" id="Rectangle 227" o:spid="_x0000_s1026" style="position:absolute;margin-left:71.25pt;margin-top:-.75pt;width:387.75pt;height:74.2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" fillcolor="#9cc2e5">
                <v:stroke startarrowwidth="narrow" startarrowlength="short" endarrowwidth="narrow" endarrowlength="short"/>
                <v:textbox inset="2.53958mm,1.2694mm,2.53958mm,1.2694mm">
                  <w:txbxContent>
                    <w:p w14:paraId="5EA8E894" w14:textId="77777777" w:rsidR="009A7D47" w:rsidRDefault="00000000">
                      <w:pPr>
                        <w:jc w:val="center"/>
                        <w:textDirection w:val="btLr"/>
                      </w:pPr>
                      <w:r>
                        <w:rPr>
                          <w:rFonts w:ascii="Arial Black" w:eastAsia="Arial Black" w:hAnsi="Arial Black" w:cs="Arial Black"/>
                          <w:color w:val="000000"/>
                          <w:sz w:val="28"/>
                        </w:rPr>
                        <w:t>JURNAL AKUNTANSI PERPAJAKAN INDONESIA</w:t>
                      </w:r>
                    </w:p>
                    <w:p w14:paraId="10EF6EB4" w14:textId="77777777" w:rsidR="009A7D47" w:rsidRDefault="00000000">
                      <w:pPr>
                        <w:jc w:val="center"/>
                        <w:textDirection w:val="btLr"/>
                      </w:pPr>
                      <w:r>
                        <w:rPr>
                          <w:rFonts w:ascii="Arial Black" w:eastAsia="Arial Black" w:hAnsi="Arial Black" w:cs="Arial Black"/>
                          <w:color w:val="000000"/>
                          <w:sz w:val="24"/>
                        </w:rPr>
                        <w:t>Indonesian Tax Accounting Journal</w:t>
                      </w:r>
                    </w:p>
                    <w:p w14:paraId="4C76A94F" w14:textId="77777777" w:rsidR="009A7D47" w:rsidRDefault="00000000">
                      <w:pPr>
                        <w:jc w:val="center"/>
                        <w:textDirection w:val="btLr"/>
                      </w:pPr>
                      <w:r>
                        <w:rPr>
                          <w:color w:val="0563C1"/>
                          <w:u w:val="single"/>
                        </w:rPr>
                        <w:t>http://openjournal.unpam.ac.id/index.php/JAPI/issue/current</w:t>
                      </w:r>
                    </w:p>
                    <w:p w14:paraId="7F4A2532" w14:textId="32165D85" w:rsidR="009A7D47" w:rsidRDefault="00000000">
                      <w:pPr>
                        <w:jc w:val="center"/>
                        <w:textDirection w:val="btLr"/>
                      </w:pPr>
                      <w:r>
                        <w:rPr>
                          <w:color w:val="000000"/>
                          <w:sz w:val="20"/>
                        </w:rPr>
                        <w:t xml:space="preserve">Volume </w:t>
                      </w:r>
                      <w:r w:rsidR="001A54D6">
                        <w:rPr>
                          <w:color w:val="000000"/>
                          <w:sz w:val="20"/>
                        </w:rPr>
                        <w:t>5</w:t>
                      </w:r>
                      <w:r>
                        <w:rPr>
                          <w:color w:val="000000"/>
                          <w:sz w:val="20"/>
                        </w:rPr>
                        <w:t xml:space="preserve"> (</w:t>
                      </w:r>
                      <w:r w:rsidR="001A54D6">
                        <w:rPr>
                          <w:color w:val="000000"/>
                          <w:sz w:val="20"/>
                        </w:rPr>
                        <w:t>1</w:t>
                      </w:r>
                      <w:r>
                        <w:rPr>
                          <w:color w:val="000000"/>
                          <w:sz w:val="20"/>
                        </w:rPr>
                        <w:t xml:space="preserve">) 2026,  </w:t>
                      </w:r>
                      <w:r w:rsidR="00375D42">
                        <w:rPr>
                          <w:color w:val="000000"/>
                          <w:sz w:val="20"/>
                        </w:rPr>
                        <w:t>27</w:t>
                      </w:r>
                      <w:r>
                        <w:rPr>
                          <w:color w:val="000000"/>
                          <w:sz w:val="20"/>
                        </w:rPr>
                        <w:t xml:space="preserve"> - </w:t>
                      </w:r>
                      <w:r w:rsidR="00375D42">
                        <w:rPr>
                          <w:color w:val="000000"/>
                          <w:sz w:val="20"/>
                        </w:rPr>
                        <w:t>32</w:t>
                      </w:r>
                    </w:p>
                    <w:p w14:paraId="5A81E5C6" w14:textId="77777777" w:rsidR="009A7D47" w:rsidRDefault="009A7D47">
                      <w:pPr>
                        <w:jc w:val="center"/>
                        <w:textDirection w:val="btLr"/>
                      </w:pPr>
                    </w:p>
                  </w:txbxContent>
                </v:textbox>
              </v:rect>
            </w:pict>
          </mc:Fallback>
        </mc:AlternateContent>
      </w:r>
    </w:p>
    <w:p w14:paraId="2DDF6720" w14:textId="77777777" w:rsidR="009A7D47" w:rsidRDefault="009A7D47">
      <w:pPr>
        <w:rPr>
          <w:sz w:val="20"/>
          <w:szCs w:val="20"/>
        </w:rPr>
      </w:pPr>
    </w:p>
    <w:p w14:paraId="6E83F689" w14:textId="77777777" w:rsidR="009A7D47" w:rsidRDefault="009A7D47">
      <w:pPr>
        <w:rPr>
          <w:sz w:val="20"/>
          <w:szCs w:val="20"/>
        </w:rPr>
      </w:pPr>
    </w:p>
    <w:p w14:paraId="5795E3A6" w14:textId="77777777" w:rsidR="009A7D47" w:rsidRDefault="009A7D47">
      <w:pPr>
        <w:rPr>
          <w:sz w:val="20"/>
          <w:szCs w:val="20"/>
        </w:rPr>
      </w:pPr>
    </w:p>
    <w:p w14:paraId="2C4B3724" w14:textId="77777777" w:rsidR="009A7D47" w:rsidRDefault="009A7D47">
      <w:pPr>
        <w:rPr>
          <w:sz w:val="20"/>
          <w:szCs w:val="20"/>
        </w:rPr>
      </w:pPr>
    </w:p>
    <w:p w14:paraId="5C8F1FC4" w14:textId="77777777" w:rsidR="009A7D47" w:rsidRDefault="00000000">
      <w:pPr>
        <w:jc w:val="center"/>
        <w:rPr>
          <w:sz w:val="20"/>
          <w:szCs w:val="20"/>
        </w:rPr>
      </w:pPr>
      <w:r>
        <w:rPr>
          <w:noProof/>
        </w:rPr>
        <mc:AlternateContent>
          <mc:Choice Requires="wpg">
            <w:drawing>
              <wp:anchor distT="0" distB="0" distL="0" distR="0" simplePos="0" relativeHeight="251660288" behindDoc="1" locked="0" layoutInCell="1" hidden="0" allowOverlap="1" wp14:anchorId="2084C0AC" wp14:editId="1FE037A4">
                <wp:simplePos x="0" y="0"/>
                <wp:positionH relativeFrom="column">
                  <wp:posOffset>-368296</wp:posOffset>
                </wp:positionH>
                <wp:positionV relativeFrom="paragraph">
                  <wp:posOffset>165100</wp:posOffset>
                </wp:positionV>
                <wp:extent cx="6210300" cy="171450"/>
                <wp:effectExtent l="0" t="0" r="0" b="0"/>
                <wp:wrapNone/>
                <wp:docPr id="226" name="Group 226"/>
                <wp:cNvGraphicFramePr/>
                <a:graphic xmlns:a="http://schemas.openxmlformats.org/drawingml/2006/main">
                  <a:graphicData uri="http://schemas.microsoft.com/office/word/2010/wordprocessingGroup">
                    <wpg:wgp>
                      <wpg:cNvGrpSpPr/>
                      <wpg:grpSpPr>
                        <a:xfrm>
                          <a:off x="0" y="0"/>
                          <a:ext cx="6210300" cy="171450"/>
                          <a:chOff x="2240850" y="3694275"/>
                          <a:chExt cx="6210300" cy="171450"/>
                        </a:xfrm>
                      </wpg:grpSpPr>
                      <wpg:grpSp>
                        <wpg:cNvPr id="1" name="Group 1"/>
                        <wpg:cNvGrpSpPr/>
                        <wpg:grpSpPr>
                          <a:xfrm>
                            <a:off x="2240850" y="3694275"/>
                            <a:ext cx="6210300" cy="171450"/>
                            <a:chOff x="2240850" y="3694275"/>
                            <a:chExt cx="6210300" cy="171450"/>
                          </a:xfrm>
                        </wpg:grpSpPr>
                        <wps:wsp>
                          <wps:cNvPr id="2" name="Rectangle 2"/>
                          <wps:cNvSpPr/>
                          <wps:spPr>
                            <a:xfrm>
                              <a:off x="2240850" y="3694275"/>
                              <a:ext cx="6210300" cy="171450"/>
                            </a:xfrm>
                            <a:prstGeom prst="rect">
                              <a:avLst/>
                            </a:prstGeom>
                            <a:noFill/>
                            <a:ln>
                              <a:noFill/>
                            </a:ln>
                          </wps:spPr>
                          <wps:txbx>
                            <w:txbxContent>
                              <w:p w14:paraId="1D81D18C" w14:textId="77777777" w:rsidR="009A7D47" w:rsidRDefault="009A7D47">
                                <w:pPr>
                                  <w:textDirection w:val="btLr"/>
                                </w:pPr>
                              </w:p>
                            </w:txbxContent>
                          </wps:txbx>
                          <wps:bodyPr spcFirstLastPara="1" wrap="square" lIns="91425" tIns="91425" rIns="91425" bIns="91425" anchor="ctr" anchorCtr="0">
                            <a:noAutofit/>
                          </wps:bodyPr>
                        </wps:wsp>
                        <wpg:grpSp>
                          <wpg:cNvPr id="3" name="Group 3"/>
                          <wpg:cNvGrpSpPr/>
                          <wpg:grpSpPr>
                            <a:xfrm>
                              <a:off x="2240850" y="3694275"/>
                              <a:ext cx="6210300" cy="171450"/>
                              <a:chOff x="2240850" y="3694275"/>
                              <a:chExt cx="6210300" cy="101925"/>
                            </a:xfrm>
                          </wpg:grpSpPr>
                          <wps:wsp>
                            <wps:cNvPr id="4" name="Rectangle 4"/>
                            <wps:cNvSpPr/>
                            <wps:spPr>
                              <a:xfrm>
                                <a:off x="2240850" y="3694275"/>
                                <a:ext cx="6210300" cy="101925"/>
                              </a:xfrm>
                              <a:prstGeom prst="rect">
                                <a:avLst/>
                              </a:prstGeom>
                              <a:noFill/>
                              <a:ln>
                                <a:noFill/>
                              </a:ln>
                            </wps:spPr>
                            <wps:txbx>
                              <w:txbxContent>
                                <w:p w14:paraId="69582D69" w14:textId="77777777" w:rsidR="009A7D47" w:rsidRDefault="009A7D47">
                                  <w:pPr>
                                    <w:textDirection w:val="btLr"/>
                                  </w:pPr>
                                </w:p>
                              </w:txbxContent>
                            </wps:txbx>
                            <wps:bodyPr spcFirstLastPara="1" wrap="square" lIns="91425" tIns="91425" rIns="91425" bIns="91425" anchor="ctr" anchorCtr="0">
                              <a:noAutofit/>
                            </wps:bodyPr>
                          </wps:wsp>
                          <wpg:grpSp>
                            <wpg:cNvPr id="5" name="Group 5"/>
                            <wpg:cNvGrpSpPr/>
                            <wpg:grpSpPr>
                              <a:xfrm>
                                <a:off x="2240850" y="3694275"/>
                                <a:ext cx="6210300" cy="95250"/>
                                <a:chOff x="0" y="0"/>
                                <a:chExt cx="10082" cy="25"/>
                              </a:xfrm>
                            </wpg:grpSpPr>
                            <wps:wsp>
                              <wps:cNvPr id="6" name="Rectangle 6"/>
                              <wps:cNvSpPr/>
                              <wps:spPr>
                                <a:xfrm>
                                  <a:off x="0" y="0"/>
                                  <a:ext cx="10075" cy="25"/>
                                </a:xfrm>
                                <a:prstGeom prst="rect">
                                  <a:avLst/>
                                </a:prstGeom>
                                <a:noFill/>
                                <a:ln>
                                  <a:noFill/>
                                </a:ln>
                              </wps:spPr>
                              <wps:txbx>
                                <w:txbxContent>
                                  <w:p w14:paraId="16DBF790" w14:textId="77777777" w:rsidR="009A7D47" w:rsidRDefault="009A7D47">
                                    <w:pPr>
                                      <w:textDirection w:val="btLr"/>
                                    </w:pPr>
                                  </w:p>
                                </w:txbxContent>
                              </wps:txbx>
                              <wps:bodyPr spcFirstLastPara="1" wrap="square" lIns="91425" tIns="91425" rIns="91425" bIns="91425" anchor="ctr" anchorCtr="0">
                                <a:noAutofit/>
                              </wps:bodyPr>
                            </wps:wsp>
                            <wps:wsp>
                              <wps:cNvPr id="7" name="Straight Arrow Connector 7"/>
                              <wps:cNvCnPr/>
                              <wps:spPr>
                                <a:xfrm>
                                  <a:off x="0" y="23"/>
                                  <a:ext cx="10082" cy="0"/>
                                </a:xfrm>
                                <a:prstGeom prst="straightConnector1">
                                  <a:avLst/>
                                </a:prstGeom>
                                <a:noFill/>
                                <a:ln w="2857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2084C0AC" id="Group 226" o:spid="_x0000_s1027" style="position:absolute;left:0;text-align:left;margin-left:-29pt;margin-top:13pt;width:489pt;height:13.5pt;z-index:-251656192;mso-wrap-distance-left:0;mso-wrap-distance-right:0" coordorigin="22408,36942" coordsize="62103,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">
                <v:group id="Group 1" o:spid="_x0000_s1028"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D81D18C" w14:textId="77777777" w:rsidR="009A7D47" w:rsidRDefault="009A7D47">
                          <w:pPr>
                            <w:textDirection w:val="btLr"/>
                          </w:pPr>
                        </w:p>
                      </w:txbxContent>
                    </v:textbox>
                  </v:rect>
                  <v:group id="Group 3" o:spid="_x0000_s1030" style="position:absolute;left:22408;top:36942;width:62103;height:1715" coordorigin="22408,36942" coordsize="6210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2408;top:36942;width:62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9582D69" w14:textId="77777777" w:rsidR="009A7D47" w:rsidRDefault="009A7D47">
                            <w:pPr>
                              <w:textDirection w:val="btLr"/>
                            </w:pPr>
                          </w:p>
                        </w:txbxContent>
                      </v:textbox>
                    </v:rect>
                    <v:group id="Group 5" o:spid="_x0000_s1032"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6DBF790" w14:textId="77777777" w:rsidR="009A7D47" w:rsidRDefault="009A7D47">
                              <w:pPr>
                                <w:textDirection w:val="btLr"/>
                              </w:pP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" strokeweight="2.25pt">
                        <v:stroke startarrowwidth="narrow" startarrowlength="short" endarrowwidth="narrow" endarrowlength="short"/>
                      </v:shape>
                    </v:group>
                  </v:group>
                </v:group>
              </v:group>
            </w:pict>
          </mc:Fallback>
        </mc:AlternateContent>
      </w:r>
    </w:p>
    <w:p w14:paraId="79C28B2D" w14:textId="77777777" w:rsidR="009A7D47" w:rsidRDefault="009A7D47">
      <w:pPr>
        <w:rPr>
          <w:sz w:val="20"/>
          <w:szCs w:val="20"/>
        </w:rPr>
      </w:pPr>
    </w:p>
    <w:p w14:paraId="3762298C" w14:textId="77777777" w:rsidR="009A7D47" w:rsidRDefault="009A7D47">
      <w:pPr>
        <w:rPr>
          <w:sz w:val="20"/>
          <w:szCs w:val="20"/>
        </w:rPr>
      </w:pPr>
    </w:p>
    <w:p w14:paraId="4BE09E6D" w14:textId="20B5F136" w:rsidR="009A7D47" w:rsidRDefault="00375D42">
      <w:pPr>
        <w:jc w:val="center"/>
        <w:rPr>
          <w:b/>
          <w:bCs/>
          <w:sz w:val="24"/>
          <w:szCs w:val="24"/>
        </w:rPr>
      </w:pPr>
      <w:r>
        <w:rPr>
          <w:b/>
          <w:bCs/>
          <w:sz w:val="24"/>
          <w:szCs w:val="24"/>
        </w:rPr>
        <w:t>Analisis Pengungkapan Sukarela Beban Pajak Tangguhan Pada Perusahaan Manufaktur Di Bei Tahun 2021 -2023</w:t>
      </w:r>
    </w:p>
    <w:p w14:paraId="032A88C7" w14:textId="77777777" w:rsidR="009A7D47" w:rsidRDefault="009A7D47">
      <w:pPr>
        <w:jc w:val="center"/>
        <w:rPr>
          <w:b/>
          <w:bCs/>
          <w:sz w:val="28"/>
          <w:szCs w:val="28"/>
        </w:rPr>
      </w:pPr>
    </w:p>
    <w:p w14:paraId="11CDF138" w14:textId="77777777" w:rsidR="009A7D47" w:rsidRDefault="00000000">
      <w:pPr>
        <w:jc w:val="center"/>
        <w:rPr>
          <w:b/>
          <w:bCs/>
          <w:sz w:val="20"/>
          <w:szCs w:val="20"/>
        </w:rPr>
      </w:pPr>
      <w:r>
        <w:rPr>
          <w:b/>
          <w:bCs/>
          <w:sz w:val="20"/>
          <w:szCs w:val="20"/>
        </w:rPr>
        <w:t>Aisma¹, Daffa Iqbal Thoriq², Shidqa Shifiyna³, Wardokhi⁴</w:t>
      </w:r>
    </w:p>
    <w:p w14:paraId="24ABAA4B" w14:textId="00102878" w:rsidR="009A7D47" w:rsidRDefault="00000000">
      <w:pPr>
        <w:jc w:val="center"/>
        <w:rPr>
          <w:sz w:val="20"/>
          <w:szCs w:val="20"/>
        </w:rPr>
      </w:pPr>
      <w:r>
        <w:rPr>
          <w:sz w:val="20"/>
          <w:szCs w:val="20"/>
        </w:rPr>
        <w:t>¹²³⁴</w:t>
      </w:r>
      <w:r w:rsidR="00375D42">
        <w:rPr>
          <w:sz w:val="20"/>
          <w:szCs w:val="20"/>
        </w:rPr>
        <w:t xml:space="preserve"> </w:t>
      </w:r>
      <w:r>
        <w:rPr>
          <w:sz w:val="20"/>
          <w:szCs w:val="20"/>
        </w:rPr>
        <w:t xml:space="preserve">Program Studi Akuntansi Perpajakan, </w:t>
      </w:r>
    </w:p>
    <w:p w14:paraId="68B0CB85" w14:textId="77777777" w:rsidR="009A7D47" w:rsidRDefault="00000000">
      <w:pPr>
        <w:jc w:val="center"/>
        <w:rPr>
          <w:sz w:val="20"/>
          <w:szCs w:val="20"/>
        </w:rPr>
      </w:pPr>
      <w:r>
        <w:rPr>
          <w:sz w:val="20"/>
          <w:szCs w:val="20"/>
        </w:rPr>
        <w:t>Fakultas Ekonomi dan Bisnis, Universitas Pamulang</w:t>
      </w:r>
    </w:p>
    <w:p w14:paraId="617CAA12" w14:textId="77777777" w:rsidR="009A7D47" w:rsidRDefault="00000000">
      <w:pPr>
        <w:jc w:val="center"/>
        <w:rPr>
          <w:b/>
          <w:bCs/>
          <w:sz w:val="20"/>
          <w:szCs w:val="20"/>
        </w:rPr>
      </w:pPr>
      <w:r>
        <w:rPr>
          <w:sz w:val="20"/>
          <w:szCs w:val="20"/>
        </w:rPr>
        <w:t>Email: ¹03aisma9a@gmail.com; ²daffaiqbal73@gmail.com; ³pravdasccr@gmail.com; ⁴dosen02165@unpam.ac.id</w:t>
      </w:r>
    </w:p>
    <w:p w14:paraId="06955EF1" w14:textId="77777777" w:rsidR="009A7D47" w:rsidRDefault="009A7D47">
      <w:pPr>
        <w:jc w:val="center"/>
        <w:rPr>
          <w:b/>
          <w:bCs/>
          <w:sz w:val="20"/>
          <w:szCs w:val="20"/>
        </w:rPr>
      </w:pPr>
    </w:p>
    <w:p w14:paraId="2B67F455" w14:textId="77777777" w:rsidR="009A7D47" w:rsidRDefault="009A7D47">
      <w:pPr>
        <w:jc w:val="center"/>
        <w:rPr>
          <w:b/>
          <w:bCs/>
          <w:sz w:val="20"/>
          <w:szCs w:val="20"/>
        </w:rPr>
      </w:pPr>
    </w:p>
    <w:p w14:paraId="4E151DDF" w14:textId="77777777" w:rsidR="009A7D47" w:rsidRDefault="00000000">
      <w:pPr>
        <w:jc w:val="center"/>
        <w:rPr>
          <w:sz w:val="20"/>
          <w:szCs w:val="20"/>
        </w:rPr>
      </w:pPr>
      <w:r>
        <w:rPr>
          <w:b/>
          <w:bCs/>
          <w:sz w:val="20"/>
          <w:szCs w:val="20"/>
        </w:rPr>
        <w:t xml:space="preserve"> Article History: Received on 01 Januari 2026 , Revised on 13 Januari 2026 , Published on 30 januari 2026 </w:t>
      </w:r>
    </w:p>
    <w:p w14:paraId="1B27C84F" w14:textId="77777777" w:rsidR="009A7D47" w:rsidRDefault="009A7D47">
      <w:pPr>
        <w:spacing w:before="8"/>
        <w:jc w:val="center"/>
        <w:rPr>
          <w:sz w:val="20"/>
          <w:szCs w:val="20"/>
        </w:rPr>
      </w:pPr>
    </w:p>
    <w:p w14:paraId="603C3F70" w14:textId="77777777" w:rsidR="009A7D47" w:rsidRDefault="009A7D47">
      <w:pPr>
        <w:spacing w:before="8"/>
        <w:jc w:val="center"/>
        <w:rPr>
          <w:b/>
          <w:bCs/>
          <w:i/>
          <w:iCs/>
          <w:sz w:val="24"/>
          <w:szCs w:val="24"/>
        </w:rPr>
      </w:pPr>
    </w:p>
    <w:p w14:paraId="025A8322" w14:textId="77777777" w:rsidR="009A7D47" w:rsidRDefault="00000000">
      <w:pPr>
        <w:spacing w:before="8"/>
        <w:jc w:val="center"/>
        <w:rPr>
          <w:b/>
          <w:bCs/>
          <w:i/>
          <w:iCs/>
          <w:sz w:val="24"/>
          <w:szCs w:val="24"/>
        </w:rPr>
      </w:pPr>
      <w:r>
        <w:rPr>
          <w:b/>
          <w:bCs/>
          <w:i/>
          <w:iCs/>
          <w:sz w:val="24"/>
          <w:szCs w:val="24"/>
        </w:rPr>
        <w:t>ABSTRACT</w:t>
      </w:r>
    </w:p>
    <w:p w14:paraId="656561DA" w14:textId="77777777" w:rsidR="009A7D47" w:rsidRDefault="009A7D47">
      <w:pPr>
        <w:spacing w:before="8"/>
        <w:jc w:val="center"/>
        <w:rPr>
          <w:b/>
          <w:bCs/>
          <w:i/>
          <w:iCs/>
          <w:sz w:val="24"/>
          <w:szCs w:val="24"/>
        </w:rPr>
      </w:pPr>
    </w:p>
    <w:p w14:paraId="7D67D25E" w14:textId="77777777" w:rsidR="009A7D47" w:rsidRDefault="00000000">
      <w:pPr>
        <w:spacing w:after="240"/>
        <w:jc w:val="both"/>
        <w:rPr>
          <w:i/>
          <w:iCs/>
        </w:rPr>
      </w:pPr>
      <w:bookmarkStart w:id="0" w:name="_heading=h.18ee8hirjv9b" w:colFirst="0" w:colLast="0"/>
      <w:bookmarkEnd w:id="0"/>
      <w:r>
        <w:rPr>
          <w:i/>
          <w:iCs/>
        </w:rPr>
        <w:t>This study aims to analyze the level of voluntary disclosure of deferred tax expenses in manufacturing companies listed on the Indonesia Stock Exchange (IDX) based on disclosure indicators required by PSAK 46. The study employs a qualitative method with a content analysis approach. The sample is selected using purposive sampling and consists of two companies: PT Indofood Sukses Makmur Tbk (INDF) and PT Mayora Indah Tbk (MYOR). The results indicate that MYOR has a higher disclosure level of 87.5% compared to INDF with 75%. These findings highlight that the level of deferred tax disclosure reflects the company’s transparency and accountability in financial reporting.</w:t>
      </w:r>
    </w:p>
    <w:p w14:paraId="12FE5FC1" w14:textId="77777777" w:rsidR="009A7D47" w:rsidRDefault="00000000">
      <w:pPr>
        <w:spacing w:after="240"/>
        <w:jc w:val="both"/>
        <w:rPr>
          <w:i/>
          <w:iCs/>
          <w:highlight w:val="white"/>
        </w:rPr>
      </w:pPr>
      <w:r>
        <w:rPr>
          <w:b/>
          <w:bCs/>
          <w:i/>
          <w:iCs/>
        </w:rPr>
        <w:t>Keywords</w:t>
      </w:r>
      <w:r>
        <w:rPr>
          <w:i/>
          <w:iCs/>
        </w:rPr>
        <w:t>: Deferred tax expense, PSAK 46, voluntary disclosure.</w:t>
      </w:r>
    </w:p>
    <w:p w14:paraId="43AC2F7A" w14:textId="77777777" w:rsidR="009A7D47" w:rsidRDefault="00000000">
      <w:pPr>
        <w:spacing w:before="35" w:after="39"/>
        <w:ind w:right="174"/>
        <w:jc w:val="center"/>
        <w:rPr>
          <w:b/>
          <w:bCs/>
          <w:color w:val="000000"/>
          <w:sz w:val="24"/>
          <w:szCs w:val="24"/>
        </w:rPr>
      </w:pPr>
      <w:r>
        <w:rPr>
          <w:b/>
          <w:bCs/>
          <w:color w:val="000000"/>
          <w:sz w:val="24"/>
          <w:szCs w:val="24"/>
        </w:rPr>
        <w:t>ABSTRAK</w:t>
      </w:r>
    </w:p>
    <w:p w14:paraId="3FA63649" w14:textId="77777777" w:rsidR="009A7D47" w:rsidRDefault="00000000">
      <w:pPr>
        <w:jc w:val="both"/>
      </w:pPr>
      <w:r>
        <w:t>Penelitian ini bertujuan untuk menganalisis tingkat pengungkapan sukarela beban pajak tangguhan pada perusahaan manufaktur yang terdaftar di Bursa Efek Indonesia (BEI) berdasarkan indikator pengungkapan yang diatur dalam PSAK 46. Penelitian menggunakan metode kualitatif dengan pendekatan analisis konten (</w:t>
      </w:r>
      <w:r>
        <w:rPr>
          <w:i/>
          <w:iCs/>
        </w:rPr>
        <w:t>content analysis</w:t>
      </w:r>
      <w:r>
        <w:t>). Sampel ditentukan menggunakan teknik purposive sampling pada dua perusahaan, yaitu PT Indofood Sukses Makmur Tbk (INDF) dan PT Mayora Indah Tbk (MYOR). Hasil penelitian menunjukkan bahwa MYOR memiliki tingkat pengungkapan yang lebih tinggi, yaitu 87,5%, dibandingkan INDF sebesar 75%. Temuan ini mengindikasikan bahwa tingkat pengungkapan beban pajak tangguhan mencerminkan transparansi perusahaan dalam pelaporan keuangan serta keselarasan dengan prinsip akuntabilitas perpajakan.</w:t>
      </w:r>
    </w:p>
    <w:p w14:paraId="667D55A0" w14:textId="77777777" w:rsidR="009A7D47" w:rsidRDefault="009A7D47"/>
    <w:p w14:paraId="714AC36C" w14:textId="29287DA6" w:rsidR="009A7D47" w:rsidRDefault="00000000">
      <w:pPr>
        <w:rPr>
          <w:b/>
          <w:bCs/>
        </w:rPr>
      </w:pPr>
      <w:r>
        <w:rPr>
          <w:b/>
          <w:bCs/>
        </w:rPr>
        <w:t xml:space="preserve">Kata kunci </w:t>
      </w:r>
      <w:r>
        <w:t xml:space="preserve">: Beban </w:t>
      </w:r>
      <w:r w:rsidR="00375D42">
        <w:t>Pajak Tangguhan</w:t>
      </w:r>
      <w:r>
        <w:t xml:space="preserve">, Pengungkapan </w:t>
      </w:r>
      <w:r w:rsidR="00375D42">
        <w:t>Sukarela</w:t>
      </w:r>
      <w:r>
        <w:t>, PSAK 46.</w:t>
      </w:r>
    </w:p>
    <w:p w14:paraId="5C380071" w14:textId="77777777" w:rsidR="009A7D47" w:rsidRDefault="009A7D47">
      <w:pPr>
        <w:pStyle w:val="Heading1"/>
        <w:ind w:left="0"/>
        <w:rPr>
          <w:b w:val="0"/>
          <w:bCs w:val="0"/>
          <w:sz w:val="24"/>
          <w:szCs w:val="24"/>
        </w:rPr>
      </w:pPr>
    </w:p>
    <w:p w14:paraId="6B75D2C7" w14:textId="77777777" w:rsidR="009A7D47" w:rsidRDefault="009A7D47"/>
    <w:p w14:paraId="2224136E" w14:textId="77777777" w:rsidR="009A7D47" w:rsidRDefault="009A7D47"/>
    <w:p w14:paraId="5D0A359B" w14:textId="77777777" w:rsidR="009A7D47" w:rsidRDefault="009A7D47"/>
    <w:p w14:paraId="6BB7628F" w14:textId="77777777" w:rsidR="009A7D47" w:rsidRDefault="009A7D47"/>
    <w:p w14:paraId="754CED53" w14:textId="77777777" w:rsidR="009A7D47" w:rsidRDefault="009A7D47"/>
    <w:p w14:paraId="23398037" w14:textId="77777777" w:rsidR="009A7D47" w:rsidRDefault="009A7D47"/>
    <w:p w14:paraId="6FF88995" w14:textId="77777777" w:rsidR="009A7D47" w:rsidRDefault="009A7D47"/>
    <w:p w14:paraId="2CC2FD89" w14:textId="77777777" w:rsidR="009A7D47" w:rsidRDefault="009A7D47">
      <w:pPr>
        <w:rPr>
          <w:b/>
          <w:bCs/>
        </w:rPr>
      </w:pPr>
    </w:p>
    <w:p w14:paraId="4F853388" w14:textId="77777777" w:rsidR="009A7D47" w:rsidRDefault="00000000">
      <w:pPr>
        <w:rPr>
          <w:b/>
          <w:bCs/>
        </w:rPr>
      </w:pPr>
      <w:r>
        <w:rPr>
          <w:b/>
          <w:bCs/>
        </w:rPr>
        <w:lastRenderedPageBreak/>
        <w:t>PENDAHULUAN</w:t>
      </w:r>
    </w:p>
    <w:p w14:paraId="4416BC2D" w14:textId="77777777" w:rsidR="009A7D47" w:rsidRDefault="00000000">
      <w:pPr>
        <w:widowControl/>
        <w:pBdr>
          <w:top w:val="nil"/>
          <w:left w:val="nil"/>
          <w:bottom w:val="nil"/>
          <w:right w:val="nil"/>
          <w:between w:val="nil"/>
        </w:pBdr>
        <w:ind w:firstLine="720"/>
        <w:jc w:val="both"/>
        <w:rPr>
          <w:color w:val="000000"/>
        </w:rPr>
      </w:pPr>
      <w:r>
        <w:rPr>
          <w:color w:val="000000"/>
        </w:rPr>
        <w:t>Pajak merupakan komponen penting dalam penerimaan negara dan memiliki peran strategis dalam mendukung pembangunan nasional. Pajak penghasilan merupakan salah satu kontributor terbesar bagi penerimaan negara, sehingga transparansi dan akuntabilitas perusahaan dalam pelaporan pajak menjadi sangat krusial. Menurut Kanji (2019), perusahaan diwajibkan menyusun laporan keuangan sesuai Pernyataan Standar Akuntansi Keuangan (PSAK) untuk menghasilkan informasi yang dapat dipercaya serta berguna bagi para pemangku kepentingan.</w:t>
      </w:r>
    </w:p>
    <w:p w14:paraId="373DE709" w14:textId="77777777" w:rsidR="009A7D47" w:rsidRDefault="00000000">
      <w:pPr>
        <w:widowControl/>
        <w:pBdr>
          <w:top w:val="nil"/>
          <w:left w:val="nil"/>
          <w:bottom w:val="nil"/>
          <w:right w:val="nil"/>
          <w:between w:val="nil"/>
        </w:pBdr>
        <w:ind w:firstLine="720"/>
        <w:jc w:val="both"/>
        <w:rPr>
          <w:color w:val="000000"/>
        </w:rPr>
      </w:pPr>
      <w:r>
        <w:rPr>
          <w:color w:val="000000"/>
        </w:rPr>
        <w:t>Dalam praktiknya, terdapat perbedaan tujuan antara laporan keuangan komersial yang berpedoman pada SAK dan laporan fiskal yang mengikuti ketentuan perpajakan. Perbedaan tersebut seringkali memunculkan perbedaan temporer antara laba akuntansi dan laba fiskal yang kemudian menghasilkan aset atau liabilitas pajak tangguhan. Nurkhasanah dan Arfianti (2024) menegaskan bahwa rekonsiliasi fiskal diperlukan agar perusahaan dapat menyesuaikan laporan keuangan dengan ketentuan perpajakan, dan proses tersebut berkaitan erat dengan timbulnya pajak tangguhan.</w:t>
      </w:r>
    </w:p>
    <w:p w14:paraId="5CD51232" w14:textId="77777777" w:rsidR="009A7D47" w:rsidRDefault="00000000">
      <w:pPr>
        <w:widowControl/>
        <w:pBdr>
          <w:top w:val="nil"/>
          <w:left w:val="nil"/>
          <w:bottom w:val="nil"/>
          <w:right w:val="nil"/>
          <w:between w:val="nil"/>
        </w:pBdr>
        <w:ind w:firstLine="720"/>
        <w:jc w:val="both"/>
        <w:rPr>
          <w:color w:val="000000"/>
        </w:rPr>
      </w:pPr>
      <w:r>
        <w:rPr>
          <w:color w:val="000000"/>
        </w:rPr>
        <w:t>Pengungkapan beban pajak tangguhan merupakan salah satu indikator transparansi perusahaan dalam mencerminkan konsekuensi perpajakan di masa depan. Namun, tingkat pengungkapan ini berbeda antar perusahaan, dipengaruhi oleh kompleksitas usaha, kebijakan akuntansi, dan tingkat kepatuhan terhadap PSAK 46. Perusahaan manufaktur, dengan struktur aset dan proses produksi yang kompleks, cenderung menghadapi perbedaan temporer yang signifikan sehingga relevan untuk diteliti.</w:t>
      </w:r>
    </w:p>
    <w:p w14:paraId="7527DE67" w14:textId="77777777" w:rsidR="009A7D47" w:rsidRDefault="00000000">
      <w:pPr>
        <w:widowControl/>
        <w:pBdr>
          <w:top w:val="nil"/>
          <w:left w:val="nil"/>
          <w:bottom w:val="nil"/>
          <w:right w:val="nil"/>
          <w:between w:val="nil"/>
        </w:pBdr>
        <w:ind w:firstLine="720"/>
        <w:jc w:val="both"/>
        <w:rPr>
          <w:color w:val="000000"/>
        </w:rPr>
      </w:pPr>
      <w:r>
        <w:rPr>
          <w:color w:val="000000"/>
          <w:highlight w:val="white"/>
        </w:rPr>
        <w:t xml:space="preserve">Pendekatan yang awalnya cenderung dibangun berdasarkan </w:t>
      </w:r>
      <w:r>
        <w:rPr>
          <w:i/>
          <w:iCs/>
          <w:color w:val="000000"/>
          <w:highlight w:val="white"/>
        </w:rPr>
        <w:t>economic-of-crime model</w:t>
      </w:r>
      <w:r>
        <w:rPr>
          <w:color w:val="000000"/>
          <w:highlight w:val="white"/>
        </w:rPr>
        <w:t xml:space="preserve">, yaitu menjatuhkan hukuman untuk memberantas tindakan ilegal mulai diubah ke pendekatan yang mengutamakan peningkatan kepatuhan pajak. Hal ini dapat dilihat dari upaya pemerintah melalui otoritas pajak melakukan reformasi perpajakan. Pendekatan </w:t>
      </w:r>
      <w:r>
        <w:rPr>
          <w:i/>
          <w:iCs/>
          <w:color w:val="000000"/>
          <w:highlight w:val="white"/>
        </w:rPr>
        <w:t>service paradigm</w:t>
      </w:r>
      <w:r>
        <w:rPr>
          <w:color w:val="000000"/>
          <w:highlight w:val="white"/>
        </w:rPr>
        <w:t xml:space="preserve"> menitikberatkan bahwa administrasi pajak sebagai fasilitator dan penyedia pelayanan kepada Wajib Pajak. Wajib Pajak tidak lagi dianggap sebagai sosok yang menghindari pajak, namun dianggap sebagai mitra yang ingin melaksanakan kewajiban perpajakannya dengan baik dan benar. Administrasi pajak modern menganggap bahwa peningkatan kepatuhan sukarela merupakan tujuan utama.</w:t>
      </w:r>
    </w:p>
    <w:p w14:paraId="158C183F" w14:textId="77777777" w:rsidR="009A7D47" w:rsidRDefault="00000000">
      <w:pPr>
        <w:widowControl/>
        <w:pBdr>
          <w:top w:val="nil"/>
          <w:left w:val="nil"/>
          <w:bottom w:val="nil"/>
          <w:right w:val="nil"/>
          <w:between w:val="nil"/>
        </w:pBdr>
        <w:ind w:firstLine="720"/>
        <w:jc w:val="both"/>
        <w:rPr>
          <w:color w:val="000000"/>
        </w:rPr>
      </w:pPr>
      <w:r>
        <w:rPr>
          <w:color w:val="000000"/>
        </w:rPr>
        <w:t>Penelitian ini menganalisis tingkat pengungkapan sukarela beban pajak tangguhan pada laporan keuangan perusahaan manufaktur sebagai bentuk transparansi dalam pelaporan keuangan.</w:t>
      </w:r>
    </w:p>
    <w:p w14:paraId="3A8AE20F" w14:textId="77777777" w:rsidR="009A7D47" w:rsidRDefault="009A7D47"/>
    <w:p w14:paraId="7D0F23A0" w14:textId="77777777" w:rsidR="009A7D47" w:rsidRDefault="00000000">
      <w:pPr>
        <w:pStyle w:val="Heading1"/>
        <w:ind w:left="0"/>
      </w:pPr>
      <w:r>
        <w:rPr>
          <w:color w:val="000000"/>
        </w:rPr>
        <w:t>LANDASAN TEORITIS DAN PENGEMBANGAN HIPOTESIS</w:t>
      </w:r>
    </w:p>
    <w:p w14:paraId="48D6AA95" w14:textId="77777777" w:rsidR="009A7D47" w:rsidRDefault="00000000">
      <w:pPr>
        <w:widowControl/>
        <w:jc w:val="both"/>
        <w:rPr>
          <w:b/>
          <w:bCs/>
        </w:rPr>
      </w:pPr>
      <w:r>
        <w:rPr>
          <w:b/>
          <w:bCs/>
        </w:rPr>
        <w:t>Teori Keagenan (</w:t>
      </w:r>
      <w:r>
        <w:rPr>
          <w:b/>
          <w:bCs/>
          <w:i/>
          <w:iCs/>
        </w:rPr>
        <w:t>Agency Theory</w:t>
      </w:r>
      <w:r>
        <w:rPr>
          <w:b/>
          <w:bCs/>
        </w:rPr>
        <w:t>)</w:t>
      </w:r>
    </w:p>
    <w:p w14:paraId="6E5B00E6" w14:textId="77777777" w:rsidR="009A7D47" w:rsidRDefault="00000000">
      <w:pPr>
        <w:widowControl/>
        <w:ind w:firstLine="720"/>
        <w:jc w:val="both"/>
      </w:pPr>
      <w:r>
        <w:t xml:space="preserve">Teori keagenan menjelaskan hubungan kontraktual antara prinsipal dan agen, di mana agen diberi kewenangan untuk bertindak bagi kepentingan prinsipal (Jensen &amp; Meckling, 1976). Dalam konteks perusahaan publik, manajemen sebagai agen bertanggung jawab menyampaikan informasi keuangan yang akurat dan transparan kepada pemegang saham sebagai prinsipal. </w:t>
      </w:r>
    </w:p>
    <w:p w14:paraId="343E718A" w14:textId="77777777" w:rsidR="009A7D47" w:rsidRDefault="00000000">
      <w:pPr>
        <w:widowControl/>
        <w:ind w:firstLine="720"/>
        <w:jc w:val="both"/>
      </w:pPr>
      <w:r>
        <w:t>Menurut Damayanti &amp; Nafsiah (2022), adanya asimetri informasi antara manajemen dan investor dapat mendorong manajemen untuk memberikan sinyal melalui pengungkapan sukarela dalam laporan keuangan, termasuk pengungkapan beban pajak tangguhan. Dengan demikian, pengungkapan sukarela dapat dianggap sebagai upaya manajemen untuk mengurangi risiko konflik kepentingan dan meningkatkan kepercayaan investor.</w:t>
      </w:r>
    </w:p>
    <w:p w14:paraId="5A9689E2" w14:textId="77777777" w:rsidR="009A7D47" w:rsidRDefault="00000000">
      <w:pPr>
        <w:widowControl/>
        <w:jc w:val="both"/>
        <w:rPr>
          <w:b/>
          <w:bCs/>
        </w:rPr>
      </w:pPr>
      <w:r>
        <w:rPr>
          <w:b/>
          <w:bCs/>
        </w:rPr>
        <w:t>Beban Pajak Tangguhan</w:t>
      </w:r>
    </w:p>
    <w:p w14:paraId="5C347945" w14:textId="77777777" w:rsidR="009A7D47" w:rsidRDefault="00000000">
      <w:pPr>
        <w:widowControl/>
        <w:ind w:firstLine="720"/>
        <w:jc w:val="both"/>
      </w:pPr>
      <w:r>
        <w:t>Beban pajak tangguhan muncul karena adanya perbedaan temporer (</w:t>
      </w:r>
      <w:r>
        <w:rPr>
          <w:i/>
          <w:iCs/>
        </w:rPr>
        <w:t>temporary differences</w:t>
      </w:r>
      <w:r>
        <w:t>) antara laba akuntansi dan laba fiskal. Perbedaan ini menimbulkan aset atau liabilitas pajak tangguhan yang perlu diungkapkan dalam laporan keuangan (PSAK 46). Arviani &amp; Setyawati (2025) menyatakan bahwa pengungkapan beban pajak tangguhan mencerminkan kemampuan perusahaan dalam menyajikan informasi kewajiban pajak masa depan, sekaligus menjadi sarana untuk melakukan perencanaan pajak secara legal (</w:t>
      </w:r>
      <w:r>
        <w:rPr>
          <w:i/>
          <w:iCs/>
        </w:rPr>
        <w:t>tax planning</w:t>
      </w:r>
      <w:r>
        <w:t>).</w:t>
      </w:r>
    </w:p>
    <w:p w14:paraId="641D218F" w14:textId="77777777" w:rsidR="009A7D47" w:rsidRDefault="00000000">
      <w:pPr>
        <w:widowControl/>
        <w:ind w:firstLine="720"/>
        <w:jc w:val="both"/>
      </w:pPr>
      <w:r>
        <w:t>Perusahaan dengan aset tetap yang besar, persediaan yang signifikan, atau transaksi kompleks cenderung memiliki perbedaan temporer yang tinggi, sehingga pengungkapan pajak tangguhan menjadi sangat relevan. Nurkhasanah &amp; Arfianti (2024) menegaskan bahwa pengungkapan yang lengkap membantu investor memahami sumber perbedaan temporer, tarif pajak yang digunakan, dan dampak perubahan tarif pajak terhadap beban pajak tangguhan.</w:t>
      </w:r>
    </w:p>
    <w:p w14:paraId="4C9D4E74" w14:textId="77777777" w:rsidR="009A7D47" w:rsidRDefault="009A7D47">
      <w:pPr>
        <w:widowControl/>
        <w:jc w:val="both"/>
      </w:pPr>
    </w:p>
    <w:p w14:paraId="49D79A5F" w14:textId="77777777" w:rsidR="009A7D47" w:rsidRDefault="00000000">
      <w:pPr>
        <w:widowControl/>
        <w:jc w:val="both"/>
        <w:rPr>
          <w:b/>
          <w:bCs/>
        </w:rPr>
      </w:pPr>
      <w:r>
        <w:rPr>
          <w:b/>
          <w:bCs/>
        </w:rPr>
        <w:lastRenderedPageBreak/>
        <w:t>Pengungkapan Sukarela dalam Laporan Keuangan</w:t>
      </w:r>
    </w:p>
    <w:p w14:paraId="6F4A0D5E" w14:textId="77777777" w:rsidR="009A7D47" w:rsidRDefault="00000000">
      <w:pPr>
        <w:widowControl/>
        <w:ind w:firstLine="720"/>
        <w:jc w:val="both"/>
      </w:pPr>
      <w:r>
        <w:t>Pengungkapan sukarela adalah informasi tambahan yang disediakan oleh perusahaan di luar ketentuan regulasi wajib, bertujuan meningkatkan transparansi dan kualitas informasi (Healy &amp; Palepu, 2001). Pengungkapan sukarela beban pajak tangguhan dapat mencakup:</w:t>
      </w:r>
    </w:p>
    <w:p w14:paraId="06EFCDB5" w14:textId="77777777" w:rsidR="009A7D47" w:rsidRDefault="00000000">
      <w:pPr>
        <w:widowControl/>
        <w:numPr>
          <w:ilvl w:val="0"/>
          <w:numId w:val="7"/>
        </w:numPr>
        <w:ind w:left="425"/>
      </w:pPr>
      <w:r>
        <w:t>Rekonsiliasi laba akuntansi dan fiskal.</w:t>
      </w:r>
    </w:p>
    <w:p w14:paraId="38B3444A" w14:textId="77777777" w:rsidR="009A7D47" w:rsidRDefault="00000000">
      <w:pPr>
        <w:widowControl/>
        <w:numPr>
          <w:ilvl w:val="0"/>
          <w:numId w:val="7"/>
        </w:numPr>
        <w:ind w:left="425"/>
      </w:pPr>
      <w:r>
        <w:t>Jumlah beban pajak kini dan tangguhan.</w:t>
      </w:r>
    </w:p>
    <w:p w14:paraId="504F92D0" w14:textId="77777777" w:rsidR="009A7D47" w:rsidRDefault="00000000">
      <w:pPr>
        <w:widowControl/>
        <w:numPr>
          <w:ilvl w:val="0"/>
          <w:numId w:val="7"/>
        </w:numPr>
        <w:ind w:left="425"/>
      </w:pPr>
      <w:r>
        <w:t>Rincian aset dan liabilitas pajak tangguhan.</w:t>
      </w:r>
    </w:p>
    <w:p w14:paraId="17C01DCA" w14:textId="77777777" w:rsidR="009A7D47" w:rsidRDefault="00000000">
      <w:pPr>
        <w:widowControl/>
        <w:numPr>
          <w:ilvl w:val="0"/>
          <w:numId w:val="7"/>
        </w:numPr>
        <w:ind w:left="425"/>
      </w:pPr>
      <w:r>
        <w:t>Sumber perbedaan temporer dan tarif pajak yang digunakan.</w:t>
      </w:r>
    </w:p>
    <w:p w14:paraId="40439B42" w14:textId="77777777" w:rsidR="009A7D47" w:rsidRDefault="00000000">
      <w:pPr>
        <w:widowControl/>
        <w:numPr>
          <w:ilvl w:val="0"/>
          <w:numId w:val="7"/>
        </w:numPr>
        <w:ind w:left="425"/>
      </w:pPr>
      <w:r>
        <w:t>Koreksi fiskal tahun sebelumnya.</w:t>
      </w:r>
    </w:p>
    <w:p w14:paraId="7CA81AC0" w14:textId="77777777" w:rsidR="009A7D47" w:rsidRDefault="00000000">
      <w:pPr>
        <w:widowControl/>
        <w:ind w:firstLine="720"/>
        <w:jc w:val="both"/>
      </w:pPr>
      <w:r>
        <w:t>Menurut penelitian Kanji (2019), tingkat pengungkapan sukarela yang tinggi menunjukkan komitmen perusahaan dalam menjaga akuntabilitas dan kredibilitas pelaporan keuangan, serta memberikan sinyal positif bagi investor terkait transparansi kewajiban pajak.</w:t>
      </w:r>
    </w:p>
    <w:p w14:paraId="5817278B" w14:textId="77777777" w:rsidR="009A7D47" w:rsidRDefault="00000000">
      <w:pPr>
        <w:widowControl/>
        <w:spacing w:before="200"/>
        <w:jc w:val="both"/>
        <w:rPr>
          <w:b/>
          <w:bCs/>
        </w:rPr>
      </w:pPr>
      <w:r>
        <w:rPr>
          <w:b/>
          <w:bCs/>
        </w:rPr>
        <w:t>Penelitian Terdahulu</w:t>
      </w:r>
    </w:p>
    <w:p w14:paraId="0B54D9A3" w14:textId="77777777" w:rsidR="009A7D47" w:rsidRDefault="00000000">
      <w:pPr>
        <w:widowControl/>
        <w:ind w:firstLine="720"/>
        <w:jc w:val="both"/>
      </w:pPr>
      <w:r>
        <w:t>Beberapa penelitian sebelumnya mendukung relevansi pengungkapan sukarela beban pajak tangguhan:</w:t>
      </w:r>
    </w:p>
    <w:p w14:paraId="512E0965" w14:textId="77777777" w:rsidR="009A7D47" w:rsidRDefault="00000000">
      <w:pPr>
        <w:widowControl/>
        <w:numPr>
          <w:ilvl w:val="0"/>
          <w:numId w:val="1"/>
        </w:numPr>
        <w:ind w:left="425"/>
        <w:jc w:val="both"/>
      </w:pPr>
      <w:r>
        <w:t>Damayanti &amp; Nafsiah (2022) menemukan bahwa transparansi laporan keuangan dapat memoderasi pengaruh beban pajak tangguhan terhadap tindakan penghindaran pajak (</w:t>
      </w:r>
      <w:r>
        <w:rPr>
          <w:i/>
          <w:iCs/>
        </w:rPr>
        <w:t>tax avoidance</w:t>
      </w:r>
      <w:r>
        <w:t>) pada perusahaan manufaktur di BEI.</w:t>
      </w:r>
    </w:p>
    <w:p w14:paraId="6E2B56F5" w14:textId="77777777" w:rsidR="009A7D47" w:rsidRDefault="00000000">
      <w:pPr>
        <w:widowControl/>
        <w:numPr>
          <w:ilvl w:val="0"/>
          <w:numId w:val="1"/>
        </w:numPr>
        <w:ind w:left="425"/>
        <w:jc w:val="both"/>
      </w:pPr>
      <w:r>
        <w:t>Arviani &amp; Setyawati (2025) menekankan bahwa pengungkapan aset dan liabilitas pajak tangguhan berkaitan erat dengan corporate governance dan strategi transfer pricing, yang dapat memengaruhi praktik perencanaan pajak legal.</w:t>
      </w:r>
    </w:p>
    <w:p w14:paraId="0FB3EB18" w14:textId="77777777" w:rsidR="009A7D47" w:rsidRDefault="00000000">
      <w:pPr>
        <w:widowControl/>
        <w:numPr>
          <w:ilvl w:val="0"/>
          <w:numId w:val="1"/>
        </w:numPr>
        <w:ind w:left="425"/>
        <w:jc w:val="both"/>
      </w:pPr>
      <w:r>
        <w:t>Kanji (2019) menyatakan bahwa perencanaan pajak dan pengungkapan pajak tangguhan mempengaruhi persepsi investor terhadap kualitas laporan keuangan.</w:t>
      </w:r>
    </w:p>
    <w:p w14:paraId="044EB564" w14:textId="77777777" w:rsidR="009A7D47" w:rsidRDefault="00000000">
      <w:pPr>
        <w:widowControl/>
        <w:numPr>
          <w:ilvl w:val="0"/>
          <w:numId w:val="1"/>
        </w:numPr>
        <w:ind w:left="425"/>
        <w:jc w:val="both"/>
      </w:pPr>
      <w:r>
        <w:t>Nurkhasanah &amp; Arfianti (2024) menegaskan bahwa pengungkapan pajak tangguhan sesuai PSAK 46 membantu pemangku kepentingan memahami risiko pajak masa depan dan evaluasi keputusan manajemen.</w:t>
      </w:r>
    </w:p>
    <w:p w14:paraId="5A915D3F" w14:textId="77777777" w:rsidR="009A7D47" w:rsidRDefault="00000000">
      <w:pPr>
        <w:widowControl/>
        <w:ind w:firstLine="720"/>
        <w:jc w:val="both"/>
      </w:pPr>
      <w:r>
        <w:t>Berdasarkan temuan tersebut, penelitian ini menekankan pentingnya pengungkapan sukarela beban pajak tangguhan sebagai indikator transparansi dan akuntabilitas perusahaan, khususnya pada perusahaan manufaktur dengan aset tetap besar dan transaksi kompleks.</w:t>
      </w:r>
    </w:p>
    <w:p w14:paraId="15B32244" w14:textId="77777777" w:rsidR="009A7D47" w:rsidRDefault="00000000">
      <w:pPr>
        <w:widowControl/>
        <w:ind w:firstLine="720"/>
        <w:jc w:val="both"/>
      </w:pPr>
      <w:r>
        <w:t>Penelitian ini mengadopsi indikator pengungkapan sukarela berdasarkan PSAK 46 dan menganalisis dua perusahaan manufaktur terdaftar di BEI: PT Indofood Sukses Makmur Tbk (INDF) dan PT Mayora Indah Tbk (MYOR). Dengan mengintegrasikan teori keagenan dan temuan penelitian terdahulu, penelitian ini bertujuan menilai sejauh mana perusahaan menyampaikan informasi pajak tangguhan secara sukarela dan transparan, serta memberikan gambaran praktik pelaporan yang dapat meningkatkan kepercayaan investor.</w:t>
      </w:r>
    </w:p>
    <w:p w14:paraId="14363F28" w14:textId="77777777" w:rsidR="009A7D47" w:rsidRDefault="009A7D47"/>
    <w:p w14:paraId="00219AB5" w14:textId="77777777" w:rsidR="009A7D47" w:rsidRDefault="00000000">
      <w:pPr>
        <w:pStyle w:val="Heading1"/>
        <w:spacing w:before="80" w:after="80"/>
        <w:ind w:left="0"/>
      </w:pPr>
      <w:r>
        <w:t>METODE PENELITIAN</w:t>
      </w:r>
    </w:p>
    <w:p w14:paraId="2438B592" w14:textId="77777777" w:rsidR="009A7D47" w:rsidRDefault="00000000">
      <w:pPr>
        <w:widowControl/>
        <w:ind w:firstLine="720"/>
        <w:jc w:val="both"/>
      </w:pPr>
      <w:r>
        <w:t xml:space="preserve">Penelitian ini menggunakan </w:t>
      </w:r>
      <w:r>
        <w:rPr>
          <w:b/>
          <w:bCs/>
        </w:rPr>
        <w:t>metode kualitatif</w:t>
      </w:r>
      <w:r>
        <w:t xml:space="preserve"> dengan pendekatan </w:t>
      </w:r>
      <w:r>
        <w:rPr>
          <w:b/>
          <w:bCs/>
        </w:rPr>
        <w:t>analisis konten (</w:t>
      </w:r>
      <w:r>
        <w:rPr>
          <w:b/>
          <w:bCs/>
          <w:i/>
          <w:iCs/>
        </w:rPr>
        <w:t>content analysis</w:t>
      </w:r>
      <w:r>
        <w:rPr>
          <w:b/>
          <w:bCs/>
        </w:rPr>
        <w:t>)</w:t>
      </w:r>
      <w:r>
        <w:t xml:space="preserve"> terhadap laporan tahunan dan catatan atas laporan keuangan perusahaan manufaktur yang terdaftar di Bursa Efek Indonesia (BEI).</w:t>
      </w:r>
    </w:p>
    <w:p w14:paraId="2E9A7523" w14:textId="77777777" w:rsidR="009A7D47" w:rsidRDefault="00000000">
      <w:pPr>
        <w:widowControl/>
        <w:jc w:val="both"/>
      </w:pPr>
      <w:r>
        <w:t>Sampel dipilih menggunakan teknik purposive sampling dengan kriteria sebagai berikut:</w:t>
      </w:r>
    </w:p>
    <w:p w14:paraId="768C926F" w14:textId="77777777" w:rsidR="009A7D47" w:rsidRDefault="00000000">
      <w:pPr>
        <w:widowControl/>
        <w:numPr>
          <w:ilvl w:val="0"/>
          <w:numId w:val="5"/>
        </w:numPr>
        <w:ind w:left="425"/>
        <w:jc w:val="both"/>
      </w:pPr>
      <w:r>
        <w:t>Perusahaan manufaktur yang terdaftar di BEI.</w:t>
      </w:r>
    </w:p>
    <w:p w14:paraId="09DA9A8C" w14:textId="77777777" w:rsidR="009A7D47" w:rsidRDefault="00000000">
      <w:pPr>
        <w:widowControl/>
        <w:numPr>
          <w:ilvl w:val="0"/>
          <w:numId w:val="5"/>
        </w:numPr>
        <w:ind w:left="425"/>
        <w:jc w:val="both"/>
      </w:pPr>
      <w:r>
        <w:t>Menerbitkan laporan tahunan lengkap beserta catatan atas laporan keuangan.</w:t>
      </w:r>
    </w:p>
    <w:p w14:paraId="2267A7D4" w14:textId="77777777" w:rsidR="009A7D47" w:rsidRDefault="00000000">
      <w:pPr>
        <w:widowControl/>
        <w:jc w:val="both"/>
      </w:pPr>
      <w:r>
        <w:t>Dua perusahaan terpilih adalah:</w:t>
      </w:r>
    </w:p>
    <w:p w14:paraId="7D9E47FA" w14:textId="77777777" w:rsidR="009A7D47" w:rsidRDefault="00000000">
      <w:pPr>
        <w:widowControl/>
        <w:numPr>
          <w:ilvl w:val="0"/>
          <w:numId w:val="8"/>
        </w:numPr>
        <w:ind w:left="425"/>
        <w:jc w:val="both"/>
      </w:pPr>
      <w:r>
        <w:t>PT Indofood Sukses Makmur Tbk (INDF)</w:t>
      </w:r>
    </w:p>
    <w:p w14:paraId="3C3C4B77" w14:textId="77777777" w:rsidR="009A7D47" w:rsidRDefault="00000000">
      <w:pPr>
        <w:widowControl/>
        <w:numPr>
          <w:ilvl w:val="0"/>
          <w:numId w:val="8"/>
        </w:numPr>
        <w:ind w:left="425"/>
        <w:jc w:val="both"/>
      </w:pPr>
      <w:r>
        <w:t>PT Mayora Indah Tbk (MYOR)</w:t>
      </w:r>
    </w:p>
    <w:p w14:paraId="7027E1A1" w14:textId="77777777" w:rsidR="009A7D47" w:rsidRDefault="00000000">
      <w:pPr>
        <w:widowControl/>
        <w:ind w:firstLine="720"/>
        <w:jc w:val="both"/>
      </w:pPr>
      <w:r>
        <w:t>Data yang digunakan adalah data sekunder, berupa: Laporan tahunan perusahaan. Catatan atas laporan keuangan (CALK) terkait pajak tangguhan. Analisis dilakukan dengan menilai tingkat pengungkapan sukarela beban pajak tangguhan berdasarkan delapan indikator PSAK 46, yaitu:</w:t>
      </w:r>
    </w:p>
    <w:p w14:paraId="4507CFAE" w14:textId="77777777" w:rsidR="009A7D47" w:rsidRDefault="00000000">
      <w:pPr>
        <w:widowControl/>
        <w:numPr>
          <w:ilvl w:val="0"/>
          <w:numId w:val="6"/>
        </w:numPr>
        <w:ind w:left="425"/>
        <w:jc w:val="both"/>
      </w:pPr>
      <w:r>
        <w:t>Rekonsiliasi laba akuntansi dan fiskal.</w:t>
      </w:r>
    </w:p>
    <w:p w14:paraId="57B71928" w14:textId="77777777" w:rsidR="009A7D47" w:rsidRDefault="00000000">
      <w:pPr>
        <w:widowControl/>
        <w:numPr>
          <w:ilvl w:val="0"/>
          <w:numId w:val="6"/>
        </w:numPr>
        <w:ind w:left="425"/>
        <w:jc w:val="both"/>
      </w:pPr>
      <w:r>
        <w:t>Jumlah beban pajak kini dan tangguhan.</w:t>
      </w:r>
    </w:p>
    <w:p w14:paraId="264CF04B" w14:textId="77777777" w:rsidR="009A7D47" w:rsidRDefault="00000000">
      <w:pPr>
        <w:widowControl/>
        <w:numPr>
          <w:ilvl w:val="0"/>
          <w:numId w:val="6"/>
        </w:numPr>
        <w:ind w:left="425"/>
        <w:jc w:val="both"/>
      </w:pPr>
      <w:r>
        <w:t>Rincian aset pajak tangguhan.</w:t>
      </w:r>
    </w:p>
    <w:p w14:paraId="70AB4223" w14:textId="77777777" w:rsidR="009A7D47" w:rsidRDefault="00000000">
      <w:pPr>
        <w:widowControl/>
        <w:numPr>
          <w:ilvl w:val="0"/>
          <w:numId w:val="6"/>
        </w:numPr>
        <w:ind w:left="425"/>
        <w:jc w:val="both"/>
      </w:pPr>
      <w:r>
        <w:lastRenderedPageBreak/>
        <w:t>Rincian liabilitas pajak tangguhan.</w:t>
      </w:r>
    </w:p>
    <w:p w14:paraId="75153132" w14:textId="77777777" w:rsidR="009A7D47" w:rsidRDefault="00000000">
      <w:pPr>
        <w:widowControl/>
        <w:numPr>
          <w:ilvl w:val="0"/>
          <w:numId w:val="6"/>
        </w:numPr>
        <w:ind w:left="425"/>
        <w:jc w:val="both"/>
      </w:pPr>
      <w:r>
        <w:t>Sumber perbedaan temporer.</w:t>
      </w:r>
    </w:p>
    <w:p w14:paraId="490D4E5D" w14:textId="77777777" w:rsidR="009A7D47" w:rsidRDefault="00000000">
      <w:pPr>
        <w:widowControl/>
        <w:numPr>
          <w:ilvl w:val="0"/>
          <w:numId w:val="6"/>
        </w:numPr>
        <w:ind w:left="425"/>
        <w:jc w:val="both"/>
      </w:pPr>
      <w:r>
        <w:t>Tarif pajak yang digunakan.</w:t>
      </w:r>
    </w:p>
    <w:p w14:paraId="1E8421B9" w14:textId="77777777" w:rsidR="009A7D47" w:rsidRDefault="00000000">
      <w:pPr>
        <w:widowControl/>
        <w:numPr>
          <w:ilvl w:val="0"/>
          <w:numId w:val="6"/>
        </w:numPr>
        <w:ind w:left="425"/>
        <w:jc w:val="both"/>
      </w:pPr>
      <w:r>
        <w:t>Dampak perubahan tarif pajak.</w:t>
      </w:r>
    </w:p>
    <w:p w14:paraId="4E0E8B2D" w14:textId="77777777" w:rsidR="009A7D47" w:rsidRDefault="00000000">
      <w:pPr>
        <w:widowControl/>
        <w:numPr>
          <w:ilvl w:val="0"/>
          <w:numId w:val="6"/>
        </w:numPr>
        <w:ind w:left="425"/>
        <w:jc w:val="both"/>
      </w:pPr>
      <w:r>
        <w:t>Koreksi pajak tahun sebelumnya.</w:t>
      </w:r>
    </w:p>
    <w:p w14:paraId="1EFE1671" w14:textId="77777777" w:rsidR="009A7D47" w:rsidRDefault="00000000">
      <w:pPr>
        <w:widowControl/>
        <w:jc w:val="both"/>
      </w:pPr>
      <w:r>
        <w:t>Setiap indikator diberi skor 1 jika diungkapkan, 0 jika tidak. Selanjutnya, indeks pengungkapan dihitung menggunakan rumus:</w:t>
      </w:r>
    </w:p>
    <w:p w14:paraId="14AF9F68" w14:textId="77777777" w:rsidR="009A7D47" w:rsidRDefault="00000000">
      <w:pPr>
        <w:widowControl/>
        <w:jc w:val="both"/>
      </w:pPr>
      <w:r>
        <w:rPr>
          <w:noProof/>
        </w:rPr>
        <w:drawing>
          <wp:inline distT="114300" distB="114300" distL="114300" distR="114300" wp14:anchorId="77C3480C" wp14:editId="19AFDA6A">
            <wp:extent cx="3505200" cy="533400"/>
            <wp:effectExtent l="12700" t="12700" r="12700" b="12700"/>
            <wp:docPr id="2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505200" cy="533400"/>
                    </a:xfrm>
                    <a:prstGeom prst="rect">
                      <a:avLst/>
                    </a:prstGeom>
                    <a:ln w="12700">
                      <a:solidFill>
                        <a:srgbClr val="000000"/>
                      </a:solidFill>
                      <a:prstDash val="solid"/>
                    </a:ln>
                  </pic:spPr>
                </pic:pic>
              </a:graphicData>
            </a:graphic>
          </wp:inline>
        </w:drawing>
      </w:r>
    </w:p>
    <w:p w14:paraId="30830EA8" w14:textId="77777777" w:rsidR="009A7D47" w:rsidRDefault="00000000">
      <w:pPr>
        <w:widowControl/>
        <w:ind w:firstLine="720"/>
        <w:jc w:val="both"/>
      </w:pPr>
      <w:r>
        <w:t>Rumus ini mengacu pada metode yang digunakan dalam penelitian sebelumnya untuk mengukur tingkat pengungkapan sukarela, antara lain oleh Patell (1991) dan Hossain, Tan, &amp; Adams (1994), serta telah diaplikasikan dalam penelitian di Indonesia oleh Ghozali &amp; Chariri (2007).</w:t>
      </w:r>
    </w:p>
    <w:p w14:paraId="2ED60D83" w14:textId="77777777" w:rsidR="009A7D47" w:rsidRDefault="00000000">
      <w:pPr>
        <w:widowControl/>
        <w:jc w:val="both"/>
      </w:pPr>
      <w:r>
        <w:t>Dengan demikian, indeks pengungkapan menggambarkan persentase indikator yang diungkapkan oleh perusahaan, sehingga dapat menilai tingkat transparansi dalam pelaporan pajak tangguhan.</w:t>
      </w:r>
    </w:p>
    <w:p w14:paraId="64D12332" w14:textId="77777777" w:rsidR="009A7D47" w:rsidRDefault="009A7D47">
      <w:pPr>
        <w:spacing w:before="40" w:after="40"/>
        <w:ind w:right="227" w:firstLine="720"/>
        <w:jc w:val="both"/>
      </w:pPr>
    </w:p>
    <w:p w14:paraId="46400F61" w14:textId="77777777" w:rsidR="009A7D47" w:rsidRDefault="00000000">
      <w:pPr>
        <w:pStyle w:val="Heading1"/>
        <w:spacing w:before="80" w:after="80"/>
        <w:ind w:left="0"/>
      </w:pPr>
      <w:r>
        <w:t>HASIL PENELITIAN DAN PEMBAHASAN</w:t>
      </w:r>
    </w:p>
    <w:p w14:paraId="229ACA64" w14:textId="77777777" w:rsidR="009A7D47" w:rsidRDefault="00000000">
      <w:pPr>
        <w:widowControl/>
        <w:numPr>
          <w:ilvl w:val="0"/>
          <w:numId w:val="3"/>
        </w:numPr>
        <w:ind w:left="425"/>
        <w:jc w:val="both"/>
        <w:rPr>
          <w:b/>
          <w:bCs/>
        </w:rPr>
      </w:pPr>
      <w:r>
        <w:rPr>
          <w:b/>
          <w:bCs/>
        </w:rPr>
        <w:t>Hasil Pengukuran Tingkat Pengungkapan</w:t>
      </w:r>
    </w:p>
    <w:p w14:paraId="2753231D" w14:textId="77777777" w:rsidR="009A7D47" w:rsidRDefault="00000000">
      <w:pPr>
        <w:widowControl/>
        <w:ind w:firstLine="720"/>
        <w:jc w:val="both"/>
      </w:pPr>
      <w:r>
        <w:t>Berdasarkan analisis konten terhadap delapan indikator PSAK 46, hasil pengungkapan sukarela beban pajak tangguhan ditunjukkan pada Tabel 1 berikut:</w:t>
      </w:r>
    </w:p>
    <w:p w14:paraId="3B76DFA2" w14:textId="77777777" w:rsidR="009A7D47" w:rsidRDefault="00000000">
      <w:pPr>
        <w:widowControl/>
        <w:spacing w:before="200" w:line="276" w:lineRule="auto"/>
        <w:jc w:val="center"/>
        <w:rPr>
          <w:b/>
          <w:bCs/>
        </w:rPr>
      </w:pPr>
      <w:r>
        <w:rPr>
          <w:b/>
          <w:bCs/>
        </w:rPr>
        <w:t>Tabel 1.  Indikator Pengukuran Pengungkapan Beban Pajak Tangguhan</w:t>
      </w:r>
    </w:p>
    <w:sdt>
      <w:sdtPr>
        <w:tag w:val="goog_rdk_40"/>
        <w:id w:val="-1528334463"/>
        <w:lock w:val="contentLocked"/>
      </w:sdtPr>
      <w:sdtContent>
        <w:tbl>
          <w:tblPr>
            <w:tblStyle w:val="a4"/>
            <w:tblW w:w="9096" w:type="dxa"/>
            <w:tblBorders>
              <w:top w:val="nil"/>
              <w:left w:val="nil"/>
              <w:bottom w:val="nil"/>
              <w:right w:val="nil"/>
              <w:insideH w:val="nil"/>
              <w:insideV w:val="nil"/>
            </w:tblBorders>
            <w:tblLayout w:type="fixed"/>
            <w:tblLook w:val="0600" w:firstRow="0" w:lastRow="0" w:firstColumn="0" w:lastColumn="0" w:noHBand="1" w:noVBand="1"/>
          </w:tblPr>
          <w:tblGrid>
            <w:gridCol w:w="676"/>
            <w:gridCol w:w="2445"/>
            <w:gridCol w:w="819"/>
            <w:gridCol w:w="860"/>
            <w:gridCol w:w="4296"/>
          </w:tblGrid>
          <w:tr w:rsidR="009A7D47" w14:paraId="7926890A" w14:textId="77777777">
            <w:trPr>
              <w:trHeight w:val="345"/>
              <w:tblHeader/>
            </w:trPr>
            <w:sdt>
              <w:sdtPr>
                <w:tag w:val="goog_rdk_0"/>
                <w:id w:val="-776144242"/>
              </w:sdtPr>
              <w:sdtContent>
                <w:tc>
                  <w:tcPr>
                    <w:tcW w:w="676" w:type="dxa"/>
                    <w:vMerge w:val="restart"/>
                    <w:tcBorders>
                      <w:top w:val="single" w:sz="6" w:space="0" w:color="000000"/>
                      <w:left w:val="single" w:sz="6" w:space="0" w:color="000000"/>
                      <w:bottom w:val="single" w:sz="6" w:space="0" w:color="000000"/>
                      <w:right w:val="single" w:sz="6" w:space="0" w:color="000000"/>
                    </w:tcBorders>
                    <w:shd w:val="clear" w:color="auto" w:fill="999999"/>
                    <w:tcMar>
                      <w:top w:w="40" w:type="dxa"/>
                      <w:left w:w="40" w:type="dxa"/>
                      <w:bottom w:w="40" w:type="dxa"/>
                      <w:right w:w="40" w:type="dxa"/>
                    </w:tcMar>
                    <w:vAlign w:val="center"/>
                  </w:tcPr>
                  <w:p w14:paraId="5A6E2A5C" w14:textId="77777777" w:rsidR="009A7D47" w:rsidRDefault="00000000">
                    <w:pPr>
                      <w:jc w:val="center"/>
                      <w:rPr>
                        <w:b/>
                        <w:bCs/>
                      </w:rPr>
                    </w:pPr>
                    <w:r>
                      <w:rPr>
                        <w:b/>
                        <w:bCs/>
                      </w:rPr>
                      <w:t>No</w:t>
                    </w:r>
                  </w:p>
                </w:tc>
              </w:sdtContent>
            </w:sdt>
            <w:tc>
              <w:tcPr>
                <w:tcW w:w="2445" w:type="dxa"/>
                <w:vMerge w:val="restart"/>
                <w:tcBorders>
                  <w:top w:val="single" w:sz="6" w:space="0" w:color="000000"/>
                  <w:left w:val="single" w:sz="6" w:space="0" w:color="000000"/>
                  <w:bottom w:val="single" w:sz="6" w:space="0" w:color="000000"/>
                  <w:right w:val="single" w:sz="6" w:space="0" w:color="000000"/>
                </w:tcBorders>
                <w:shd w:val="clear" w:color="auto" w:fill="999999"/>
                <w:tcMar>
                  <w:top w:w="40" w:type="dxa"/>
                  <w:left w:w="40" w:type="dxa"/>
                  <w:bottom w:w="40" w:type="dxa"/>
                  <w:right w:w="40" w:type="dxa"/>
                </w:tcMar>
                <w:vAlign w:val="center"/>
              </w:tcPr>
              <w:p w14:paraId="4F5BE376" w14:textId="77777777" w:rsidR="009A7D47" w:rsidRDefault="00000000">
                <w:pPr>
                  <w:jc w:val="center"/>
                  <w:rPr>
                    <w:b/>
                    <w:bCs/>
                  </w:rPr>
                </w:pPr>
                <w:r>
                  <w:rPr>
                    <w:b/>
                    <w:bCs/>
                  </w:rPr>
                  <w:t>Indikator PSAK 46</w:t>
                </w:r>
              </w:p>
            </w:tc>
            <w:sdt>
              <w:sdtPr>
                <w:tag w:val="goog_rdk_1"/>
                <w:id w:val="-2111072631"/>
                <w:lock w:val="contentLocked"/>
              </w:sdtPr>
              <w:sdtContent>
                <w:tc>
                  <w:tcPr>
                    <w:tcW w:w="1679" w:type="dxa"/>
                    <w:gridSpan w:val="2"/>
                    <w:tcBorders>
                      <w:top w:val="single" w:sz="6" w:space="0" w:color="000000"/>
                      <w:left w:val="single" w:sz="6" w:space="0" w:color="CCCCCC"/>
                      <w:bottom w:val="single" w:sz="6" w:space="0" w:color="000000"/>
                      <w:right w:val="single" w:sz="6" w:space="0" w:color="000000"/>
                    </w:tcBorders>
                    <w:shd w:val="clear" w:color="auto" w:fill="999999"/>
                    <w:tcMar>
                      <w:top w:w="40" w:type="dxa"/>
                      <w:left w:w="40" w:type="dxa"/>
                      <w:bottom w:w="40" w:type="dxa"/>
                      <w:right w:w="40" w:type="dxa"/>
                    </w:tcMar>
                    <w:vAlign w:val="center"/>
                  </w:tcPr>
                  <w:p w14:paraId="1332101E" w14:textId="77777777" w:rsidR="009A7D47" w:rsidRDefault="00000000">
                    <w:pPr>
                      <w:jc w:val="center"/>
                      <w:rPr>
                        <w:b/>
                        <w:bCs/>
                      </w:rPr>
                    </w:pPr>
                    <w:r>
                      <w:rPr>
                        <w:b/>
                        <w:bCs/>
                      </w:rPr>
                      <w:t>Nama perusahaan</w:t>
                    </w:r>
                  </w:p>
                </w:tc>
              </w:sdtContent>
            </w:sdt>
            <w:sdt>
              <w:sdtPr>
                <w:tag w:val="goog_rdk_3"/>
                <w:id w:val="-1107013108"/>
                <w:lock w:val="contentLocked"/>
              </w:sdtPr>
              <w:sdtContent>
                <w:tc>
                  <w:tcPr>
                    <w:tcW w:w="4296" w:type="dxa"/>
                    <w:vMerge w:val="restart"/>
                    <w:tcBorders>
                      <w:top w:val="single" w:sz="6" w:space="0" w:color="000000"/>
                      <w:left w:val="single" w:sz="6" w:space="0" w:color="CCCCCC"/>
                      <w:bottom w:val="single" w:sz="6" w:space="0" w:color="000000"/>
                      <w:right w:val="single" w:sz="6" w:space="0" w:color="000000"/>
                    </w:tcBorders>
                    <w:shd w:val="clear" w:color="auto" w:fill="999999"/>
                    <w:tcMar>
                      <w:top w:w="40" w:type="dxa"/>
                      <w:left w:w="40" w:type="dxa"/>
                      <w:bottom w:w="40" w:type="dxa"/>
                      <w:right w:w="40" w:type="dxa"/>
                    </w:tcMar>
                    <w:vAlign w:val="center"/>
                  </w:tcPr>
                  <w:p w14:paraId="02A1181C" w14:textId="77777777" w:rsidR="009A7D47" w:rsidRDefault="00000000">
                    <w:pPr>
                      <w:jc w:val="center"/>
                      <w:rPr>
                        <w:b/>
                        <w:bCs/>
                      </w:rPr>
                    </w:pPr>
                    <w:r>
                      <w:rPr>
                        <w:b/>
                        <w:bCs/>
                      </w:rPr>
                      <w:t>Penjelasan</w:t>
                    </w:r>
                  </w:p>
                </w:tc>
              </w:sdtContent>
            </w:sdt>
          </w:tr>
          <w:tr w:rsidR="009A7D47" w14:paraId="4B852943" w14:textId="77777777">
            <w:trPr>
              <w:trHeight w:val="345"/>
              <w:tblHeader/>
            </w:trPr>
            <w:sdt>
              <w:sdtPr>
                <w:tag w:val="goog_rdk_4"/>
                <w:id w:val="353228150"/>
              </w:sdtPr>
              <w:sdtContent>
                <w:tc>
                  <w:tcPr>
                    <w:tcW w:w="676" w:type="dxa"/>
                    <w:vMerge/>
                    <w:tcBorders>
                      <w:top w:val="single" w:sz="6" w:space="0" w:color="000000"/>
                      <w:left w:val="single" w:sz="6" w:space="0" w:color="000000"/>
                      <w:bottom w:val="single" w:sz="6" w:space="0" w:color="000000"/>
                      <w:right w:val="single" w:sz="6" w:space="0" w:color="000000"/>
                    </w:tcBorders>
                    <w:shd w:val="clear" w:color="auto" w:fill="999999"/>
                    <w:tcMar>
                      <w:top w:w="40" w:type="dxa"/>
                      <w:left w:w="40" w:type="dxa"/>
                      <w:bottom w:w="40" w:type="dxa"/>
                      <w:right w:w="40" w:type="dxa"/>
                    </w:tcMar>
                    <w:vAlign w:val="center"/>
                  </w:tcPr>
                  <w:p w14:paraId="56643E8B" w14:textId="77777777" w:rsidR="009A7D47" w:rsidRDefault="009A7D47">
                    <w:pPr>
                      <w:pBdr>
                        <w:top w:val="nil"/>
                        <w:left w:val="nil"/>
                        <w:bottom w:val="nil"/>
                        <w:right w:val="nil"/>
                        <w:between w:val="nil"/>
                      </w:pBdr>
                      <w:spacing w:line="276" w:lineRule="auto"/>
                      <w:rPr>
                        <w:b/>
                        <w:bCs/>
                      </w:rPr>
                    </w:pPr>
                  </w:p>
                </w:tc>
              </w:sdtContent>
            </w:sdt>
            <w:tc>
              <w:tcPr>
                <w:tcW w:w="2445" w:type="dxa"/>
                <w:vMerge/>
                <w:tcBorders>
                  <w:top w:val="single" w:sz="6" w:space="0" w:color="000000"/>
                  <w:left w:val="single" w:sz="6" w:space="0" w:color="000000"/>
                  <w:bottom w:val="single" w:sz="6" w:space="0" w:color="000000"/>
                  <w:right w:val="single" w:sz="6" w:space="0" w:color="000000"/>
                </w:tcBorders>
                <w:shd w:val="clear" w:color="auto" w:fill="999999"/>
                <w:tcMar>
                  <w:top w:w="40" w:type="dxa"/>
                  <w:left w:w="40" w:type="dxa"/>
                  <w:bottom w:w="40" w:type="dxa"/>
                  <w:right w:w="40" w:type="dxa"/>
                </w:tcMar>
                <w:vAlign w:val="center"/>
              </w:tcPr>
              <w:p w14:paraId="5EC03947" w14:textId="77777777" w:rsidR="009A7D47" w:rsidRDefault="009A7D47">
                <w:pPr>
                  <w:pBdr>
                    <w:top w:val="nil"/>
                    <w:left w:val="nil"/>
                    <w:bottom w:val="nil"/>
                    <w:right w:val="nil"/>
                    <w:between w:val="nil"/>
                  </w:pBdr>
                  <w:spacing w:line="276" w:lineRule="auto"/>
                  <w:rPr>
                    <w:b/>
                    <w:bCs/>
                  </w:rPr>
                </w:pPr>
              </w:p>
            </w:tc>
            <w:sdt>
              <w:sdtPr>
                <w:tag w:val="goog_rdk_5"/>
                <w:id w:val="2047160917"/>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999999"/>
                    <w:tcMar>
                      <w:top w:w="40" w:type="dxa"/>
                      <w:left w:w="40" w:type="dxa"/>
                      <w:bottom w:w="40" w:type="dxa"/>
                      <w:right w:w="40" w:type="dxa"/>
                    </w:tcMar>
                    <w:vAlign w:val="center"/>
                  </w:tcPr>
                  <w:p w14:paraId="0F625062" w14:textId="77777777" w:rsidR="009A7D47" w:rsidRDefault="00000000">
                    <w:pPr>
                      <w:jc w:val="center"/>
                      <w:rPr>
                        <w:b/>
                        <w:bCs/>
                      </w:rPr>
                    </w:pPr>
                    <w:r>
                      <w:rPr>
                        <w:b/>
                        <w:bCs/>
                      </w:rPr>
                      <w:t>INDF</w:t>
                    </w:r>
                  </w:p>
                </w:tc>
              </w:sdtContent>
            </w:sdt>
            <w:sdt>
              <w:sdtPr>
                <w:tag w:val="goog_rdk_6"/>
                <w:id w:val="851255828"/>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999999"/>
                    <w:tcMar>
                      <w:top w:w="40" w:type="dxa"/>
                      <w:left w:w="40" w:type="dxa"/>
                      <w:bottom w:w="40" w:type="dxa"/>
                      <w:right w:w="40" w:type="dxa"/>
                    </w:tcMar>
                    <w:vAlign w:val="center"/>
                  </w:tcPr>
                  <w:p w14:paraId="49B26F2E" w14:textId="77777777" w:rsidR="009A7D47" w:rsidRDefault="00000000">
                    <w:pPr>
                      <w:jc w:val="center"/>
                      <w:rPr>
                        <w:b/>
                        <w:bCs/>
                      </w:rPr>
                    </w:pPr>
                    <w:r>
                      <w:rPr>
                        <w:b/>
                        <w:bCs/>
                      </w:rPr>
                      <w:t>MYOR</w:t>
                    </w:r>
                  </w:p>
                </w:tc>
              </w:sdtContent>
            </w:sdt>
            <w:sdt>
              <w:sdtPr>
                <w:tag w:val="goog_rdk_7"/>
                <w:id w:val="-94290729"/>
                <w:lock w:val="contentLocked"/>
              </w:sdtPr>
              <w:sdtContent>
                <w:tc>
                  <w:tcPr>
                    <w:tcW w:w="4296" w:type="dxa"/>
                    <w:vMerge/>
                    <w:tcBorders>
                      <w:top w:val="single" w:sz="6" w:space="0" w:color="000000"/>
                      <w:left w:val="single" w:sz="6" w:space="0" w:color="CCCCCC"/>
                      <w:bottom w:val="single" w:sz="6" w:space="0" w:color="000000"/>
                      <w:right w:val="single" w:sz="6" w:space="0" w:color="000000"/>
                    </w:tcBorders>
                    <w:shd w:val="clear" w:color="auto" w:fill="999999"/>
                    <w:tcMar>
                      <w:top w:w="40" w:type="dxa"/>
                      <w:left w:w="40" w:type="dxa"/>
                      <w:bottom w:w="40" w:type="dxa"/>
                      <w:right w:w="40" w:type="dxa"/>
                    </w:tcMar>
                    <w:vAlign w:val="center"/>
                  </w:tcPr>
                  <w:p w14:paraId="5D601EA9" w14:textId="77777777" w:rsidR="009A7D47" w:rsidRDefault="009A7D47">
                    <w:pPr>
                      <w:pBdr>
                        <w:top w:val="nil"/>
                        <w:left w:val="nil"/>
                        <w:bottom w:val="nil"/>
                        <w:right w:val="nil"/>
                        <w:between w:val="nil"/>
                      </w:pBdr>
                      <w:spacing w:line="276" w:lineRule="auto"/>
                      <w:rPr>
                        <w:b/>
                        <w:bCs/>
                      </w:rPr>
                    </w:pPr>
                  </w:p>
                </w:tc>
              </w:sdtContent>
            </w:sdt>
          </w:tr>
          <w:tr w:rsidR="009A7D47" w14:paraId="0ACADCCC" w14:textId="77777777">
            <w:trPr>
              <w:trHeight w:val="615"/>
            </w:trPr>
            <w:sdt>
              <w:sdtPr>
                <w:tag w:val="goog_rdk_8"/>
                <w:id w:val="-1574020384"/>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E8CD072" w14:textId="77777777" w:rsidR="009A7D47" w:rsidRDefault="00000000">
                    <w:pPr>
                      <w:jc w:val="center"/>
                    </w:pPr>
                    <w:r>
                      <w:t>1</w:t>
                    </w:r>
                  </w:p>
                  <w:p w14:paraId="0B258ED7" w14:textId="77777777" w:rsidR="009A7D47" w:rsidRDefault="009A7D47">
                    <w:pPr>
                      <w:jc w:val="center"/>
                    </w:pP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AE59763" w14:textId="77777777" w:rsidR="009A7D47" w:rsidRDefault="00000000">
                <w:r>
                  <w:t>Rekonsiliasi laba akuntansi vs fiskal</w:t>
                </w:r>
              </w:p>
            </w:tc>
            <w:sdt>
              <w:sdtPr>
                <w:tag w:val="goog_rdk_9"/>
                <w:id w:val="-449502214"/>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ED7D2B" w14:textId="77777777" w:rsidR="009A7D47" w:rsidRDefault="00000000">
                    <w:pPr>
                      <w:jc w:val="center"/>
                    </w:pPr>
                    <w:r>
                      <w:t>1</w:t>
                    </w:r>
                  </w:p>
                </w:tc>
              </w:sdtContent>
            </w:sdt>
            <w:sdt>
              <w:sdtPr>
                <w:tag w:val="goog_rdk_10"/>
                <w:id w:val="-940988597"/>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5E7AA0B" w14:textId="77777777" w:rsidR="009A7D47" w:rsidRDefault="00000000">
                    <w:pPr>
                      <w:jc w:val="center"/>
                    </w:pPr>
                    <w:r>
                      <w:t>1</w:t>
                    </w:r>
                  </w:p>
                </w:tc>
              </w:sdtContent>
            </w:sdt>
            <w:sdt>
              <w:sdtPr>
                <w:tag w:val="goog_rdk_11"/>
                <w:id w:val="-1828589271"/>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3735684" w14:textId="77777777" w:rsidR="009A7D47" w:rsidRDefault="00000000">
                    <w:r>
                      <w:t>Keduanya mengungkap rekonsiliasi antara laba sebelum pajak dan beban pajak (dalam bentuk tabel di CALK)</w:t>
                    </w:r>
                  </w:p>
                </w:tc>
              </w:sdtContent>
            </w:sdt>
          </w:tr>
          <w:tr w:rsidR="009A7D47" w14:paraId="5CB3ACD6" w14:textId="77777777">
            <w:trPr>
              <w:trHeight w:val="615"/>
            </w:trPr>
            <w:sdt>
              <w:sdtPr>
                <w:tag w:val="goog_rdk_12"/>
                <w:id w:val="1552117031"/>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3854598" w14:textId="77777777" w:rsidR="009A7D47" w:rsidRDefault="00000000">
                    <w:pPr>
                      <w:jc w:val="center"/>
                    </w:pPr>
                    <w:r>
                      <w:t>2</w:t>
                    </w: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ACB96A2" w14:textId="77777777" w:rsidR="009A7D47" w:rsidRDefault="00000000">
                <w:r>
                  <w:t>Jumlah beban pajak kini &amp; tangguhan</w:t>
                </w:r>
              </w:p>
            </w:tc>
            <w:sdt>
              <w:sdtPr>
                <w:tag w:val="goog_rdk_13"/>
                <w:id w:val="904812157"/>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F5EAA73" w14:textId="77777777" w:rsidR="009A7D47" w:rsidRDefault="00000000">
                    <w:pPr>
                      <w:jc w:val="center"/>
                    </w:pPr>
                    <w:r>
                      <w:t>1</w:t>
                    </w:r>
                  </w:p>
                </w:tc>
              </w:sdtContent>
            </w:sdt>
            <w:sdt>
              <w:sdtPr>
                <w:tag w:val="goog_rdk_14"/>
                <w:id w:val="1930345982"/>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BE09AA" w14:textId="77777777" w:rsidR="009A7D47" w:rsidRDefault="00000000">
                    <w:pPr>
                      <w:jc w:val="center"/>
                    </w:pPr>
                    <w:r>
                      <w:t>1</w:t>
                    </w:r>
                  </w:p>
                </w:tc>
              </w:sdtContent>
            </w:sdt>
            <w:sdt>
              <w:sdtPr>
                <w:tag w:val="goog_rdk_15"/>
                <w:id w:val="579582057"/>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85C3C2" w14:textId="77777777" w:rsidR="009A7D47" w:rsidRDefault="00000000">
                    <w:r>
                      <w:t>Keduanya mencantumkan nilai jumlah beban pajak kini dan tangguhan.</w:t>
                    </w:r>
                  </w:p>
                </w:tc>
              </w:sdtContent>
            </w:sdt>
          </w:tr>
          <w:tr w:rsidR="009A7D47" w14:paraId="14231887" w14:textId="77777777">
            <w:trPr>
              <w:trHeight w:val="345"/>
            </w:trPr>
            <w:sdt>
              <w:sdtPr>
                <w:tag w:val="goog_rdk_16"/>
                <w:id w:val="-606911826"/>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3FA72E4" w14:textId="77777777" w:rsidR="009A7D47" w:rsidRDefault="00000000">
                    <w:pPr>
                      <w:jc w:val="center"/>
                    </w:pPr>
                    <w:r>
                      <w:t>3</w:t>
                    </w: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A169D45" w14:textId="77777777" w:rsidR="009A7D47" w:rsidRDefault="00000000">
                <w:r>
                  <w:t>Rincian aset pajak tangguhan</w:t>
                </w:r>
              </w:p>
            </w:tc>
            <w:sdt>
              <w:sdtPr>
                <w:tag w:val="goog_rdk_17"/>
                <w:id w:val="-887536291"/>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09C576E" w14:textId="77777777" w:rsidR="009A7D47" w:rsidRDefault="00000000">
                    <w:pPr>
                      <w:jc w:val="center"/>
                    </w:pPr>
                    <w:r>
                      <w:t>1</w:t>
                    </w:r>
                  </w:p>
                </w:tc>
              </w:sdtContent>
            </w:sdt>
            <w:sdt>
              <w:sdtPr>
                <w:tag w:val="goog_rdk_18"/>
                <w:id w:val="-1589963743"/>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8D2D801" w14:textId="77777777" w:rsidR="009A7D47" w:rsidRDefault="00000000">
                    <w:pPr>
                      <w:jc w:val="center"/>
                    </w:pPr>
                    <w:r>
                      <w:t>1</w:t>
                    </w:r>
                  </w:p>
                </w:tc>
              </w:sdtContent>
            </w:sdt>
            <w:sdt>
              <w:sdtPr>
                <w:tag w:val="goog_rdk_19"/>
                <w:id w:val="1662037674"/>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BB544F4" w14:textId="77777777" w:rsidR="009A7D47" w:rsidRDefault="00000000">
                    <w:r>
                      <w:t>Keduanya mencantumkan nilai aset pajak tangguhan dalam laporan posisi keuangan</w:t>
                    </w:r>
                  </w:p>
                </w:tc>
              </w:sdtContent>
            </w:sdt>
          </w:tr>
          <w:tr w:rsidR="009A7D47" w14:paraId="7263E4D0" w14:textId="77777777">
            <w:trPr>
              <w:trHeight w:val="345"/>
            </w:trPr>
            <w:sdt>
              <w:sdtPr>
                <w:tag w:val="goog_rdk_20"/>
                <w:id w:val="-482330481"/>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170A0A4" w14:textId="77777777" w:rsidR="009A7D47" w:rsidRDefault="00000000">
                    <w:pPr>
                      <w:jc w:val="center"/>
                    </w:pPr>
                    <w:r>
                      <w:t>4</w:t>
                    </w: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8CF6823" w14:textId="77777777" w:rsidR="009A7D47" w:rsidRDefault="00000000">
                <w:r>
                  <w:t>Rincian liabilitas pajak tangguhan</w:t>
                </w:r>
              </w:p>
            </w:tc>
            <w:sdt>
              <w:sdtPr>
                <w:tag w:val="goog_rdk_21"/>
                <w:id w:val="2037208376"/>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7DB03E2" w14:textId="77777777" w:rsidR="009A7D47" w:rsidRDefault="00000000">
                    <w:pPr>
                      <w:jc w:val="center"/>
                    </w:pPr>
                    <w:r>
                      <w:t>1</w:t>
                    </w:r>
                  </w:p>
                </w:tc>
              </w:sdtContent>
            </w:sdt>
            <w:sdt>
              <w:sdtPr>
                <w:tag w:val="goog_rdk_22"/>
                <w:id w:val="636008109"/>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30CC65" w14:textId="77777777" w:rsidR="009A7D47" w:rsidRDefault="00000000">
                    <w:pPr>
                      <w:jc w:val="center"/>
                    </w:pPr>
                    <w:r>
                      <w:t>1</w:t>
                    </w:r>
                  </w:p>
                </w:tc>
              </w:sdtContent>
            </w:sdt>
            <w:sdt>
              <w:sdtPr>
                <w:tag w:val="goog_rdk_23"/>
                <w:id w:val="232259928"/>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31E099F" w14:textId="77777777" w:rsidR="009A7D47" w:rsidRDefault="00000000">
                    <w:r>
                      <w:t>Keduanya mencantumkan nilai liabilitas pajak tangguhan dalam laporan posisi keuangan</w:t>
                    </w:r>
                  </w:p>
                </w:tc>
              </w:sdtContent>
            </w:sdt>
          </w:tr>
          <w:tr w:rsidR="009A7D47" w14:paraId="685E7B8B" w14:textId="77777777">
            <w:trPr>
              <w:trHeight w:val="345"/>
            </w:trPr>
            <w:sdt>
              <w:sdtPr>
                <w:tag w:val="goog_rdk_24"/>
                <w:id w:val="1826321675"/>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D4DE769" w14:textId="77777777" w:rsidR="009A7D47" w:rsidRDefault="00000000">
                    <w:pPr>
                      <w:jc w:val="center"/>
                    </w:pPr>
                    <w:r>
                      <w:t>5</w:t>
                    </w: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0B39E0F" w14:textId="77777777" w:rsidR="009A7D47" w:rsidRDefault="00000000">
                <w:r>
                  <w:t>Sumber utama perbedaan temporer</w:t>
                </w:r>
              </w:p>
            </w:tc>
            <w:sdt>
              <w:sdtPr>
                <w:tag w:val="goog_rdk_25"/>
                <w:id w:val="-185698451"/>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5C3631D" w14:textId="77777777" w:rsidR="009A7D47" w:rsidRDefault="00000000">
                    <w:pPr>
                      <w:jc w:val="center"/>
                    </w:pPr>
                    <w:r>
                      <w:t>0</w:t>
                    </w:r>
                  </w:p>
                </w:tc>
              </w:sdtContent>
            </w:sdt>
            <w:sdt>
              <w:sdtPr>
                <w:tag w:val="goog_rdk_26"/>
                <w:id w:val="-670606868"/>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3BE3C2E" w14:textId="77777777" w:rsidR="009A7D47" w:rsidRDefault="00000000">
                    <w:pPr>
                      <w:jc w:val="center"/>
                    </w:pPr>
                    <w:r>
                      <w:t>1</w:t>
                    </w:r>
                  </w:p>
                </w:tc>
              </w:sdtContent>
            </w:sdt>
            <w:sdt>
              <w:sdtPr>
                <w:tag w:val="goog_rdk_27"/>
                <w:id w:val="-1686143793"/>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17993D" w14:textId="77777777" w:rsidR="009A7D47" w:rsidRDefault="00000000">
                    <w:r>
                      <w:t>INDF Tidak merinci, MYOR menjelaskan perbedaan temporer dan penyusutan dan provisi</w:t>
                    </w:r>
                  </w:p>
                </w:tc>
              </w:sdtContent>
            </w:sdt>
          </w:tr>
          <w:tr w:rsidR="009A7D47" w14:paraId="0566DCCC" w14:textId="77777777">
            <w:trPr>
              <w:trHeight w:val="345"/>
            </w:trPr>
            <w:sdt>
              <w:sdtPr>
                <w:tag w:val="goog_rdk_28"/>
                <w:id w:val="922311337"/>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BB68128" w14:textId="77777777" w:rsidR="009A7D47" w:rsidRDefault="00000000">
                    <w:pPr>
                      <w:jc w:val="center"/>
                    </w:pPr>
                    <w:r>
                      <w:t>6</w:t>
                    </w: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3858018" w14:textId="77777777" w:rsidR="009A7D47" w:rsidRDefault="00000000">
                <w:r>
                  <w:t>Tarif pajak yang digunakan</w:t>
                </w:r>
              </w:p>
            </w:tc>
            <w:sdt>
              <w:sdtPr>
                <w:tag w:val="goog_rdk_29"/>
                <w:id w:val="84484978"/>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3900B22" w14:textId="77777777" w:rsidR="009A7D47" w:rsidRDefault="00000000">
                    <w:pPr>
                      <w:jc w:val="center"/>
                    </w:pPr>
                    <w:r>
                      <w:t>1</w:t>
                    </w:r>
                  </w:p>
                </w:tc>
              </w:sdtContent>
            </w:sdt>
            <w:sdt>
              <w:sdtPr>
                <w:tag w:val="goog_rdk_30"/>
                <w:id w:val="2031449657"/>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807FF47" w14:textId="77777777" w:rsidR="009A7D47" w:rsidRDefault="00000000">
                    <w:pPr>
                      <w:jc w:val="center"/>
                    </w:pPr>
                    <w:r>
                      <w:t>1</w:t>
                    </w:r>
                  </w:p>
                </w:tc>
              </w:sdtContent>
            </w:sdt>
            <w:sdt>
              <w:sdtPr>
                <w:tag w:val="goog_rdk_31"/>
                <w:id w:val="-128947101"/>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5D91E29" w14:textId="77777777" w:rsidR="009A7D47" w:rsidRDefault="00000000">
                    <w:r>
                      <w:t>Keduanya menyebut tarif pajak 22%</w:t>
                    </w:r>
                  </w:p>
                </w:tc>
              </w:sdtContent>
            </w:sdt>
          </w:tr>
          <w:tr w:rsidR="009A7D47" w14:paraId="7BCC8E3B" w14:textId="77777777">
            <w:trPr>
              <w:trHeight w:val="345"/>
            </w:trPr>
            <w:sdt>
              <w:sdtPr>
                <w:tag w:val="goog_rdk_32"/>
                <w:id w:val="2075248862"/>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6311FAD" w14:textId="77777777" w:rsidR="009A7D47" w:rsidRDefault="00000000">
                    <w:pPr>
                      <w:jc w:val="center"/>
                    </w:pPr>
                    <w:r>
                      <w:t>7</w:t>
                    </w: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5991813" w14:textId="77777777" w:rsidR="009A7D47" w:rsidRDefault="00000000">
                <w:r>
                  <w:t>Dampak perubahan tarif pajak</w:t>
                </w:r>
              </w:p>
            </w:tc>
            <w:sdt>
              <w:sdtPr>
                <w:tag w:val="goog_rdk_33"/>
                <w:id w:val="-1161389276"/>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3D5DC7" w14:textId="77777777" w:rsidR="009A7D47" w:rsidRDefault="00000000">
                    <w:pPr>
                      <w:jc w:val="center"/>
                    </w:pPr>
                    <w:r>
                      <w:t>0</w:t>
                    </w:r>
                  </w:p>
                </w:tc>
              </w:sdtContent>
            </w:sdt>
            <w:sdt>
              <w:sdtPr>
                <w:tag w:val="goog_rdk_34"/>
                <w:id w:val="1800548475"/>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438312" w14:textId="77777777" w:rsidR="009A7D47" w:rsidRDefault="00000000">
                    <w:pPr>
                      <w:jc w:val="center"/>
                    </w:pPr>
                    <w:r>
                      <w:t>0</w:t>
                    </w:r>
                  </w:p>
                </w:tc>
              </w:sdtContent>
            </w:sdt>
            <w:sdt>
              <w:sdtPr>
                <w:tag w:val="goog_rdk_35"/>
                <w:id w:val="568444625"/>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70812F8" w14:textId="77777777" w:rsidR="009A7D47" w:rsidRDefault="00000000">
                    <w:r>
                      <w:t>Tidak ada perubahan tarif dari tahun 2021</w:t>
                    </w:r>
                  </w:p>
                </w:tc>
              </w:sdtContent>
            </w:sdt>
          </w:tr>
          <w:tr w:rsidR="009A7D47" w14:paraId="242B1425" w14:textId="77777777">
            <w:trPr>
              <w:trHeight w:val="345"/>
            </w:trPr>
            <w:sdt>
              <w:sdtPr>
                <w:tag w:val="goog_rdk_36"/>
                <w:id w:val="1580609809"/>
              </w:sdtPr>
              <w:sdtContent>
                <w:tc>
                  <w:tcPr>
                    <w:tcW w:w="676"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1795AFA" w14:textId="77777777" w:rsidR="009A7D47" w:rsidRDefault="00000000">
                    <w:pPr>
                      <w:jc w:val="center"/>
                    </w:pPr>
                    <w:r>
                      <w:t>8</w:t>
                    </w:r>
                  </w:p>
                </w:tc>
              </w:sdtContent>
            </w:sdt>
            <w:tc>
              <w:tcPr>
                <w:tcW w:w="24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7A4183D" w14:textId="77777777" w:rsidR="009A7D47" w:rsidRDefault="00000000">
                <w:r>
                  <w:t>Koreksi pajak tahun lalu</w:t>
                </w:r>
              </w:p>
            </w:tc>
            <w:sdt>
              <w:sdtPr>
                <w:tag w:val="goog_rdk_37"/>
                <w:id w:val="-1781300523"/>
                <w:lock w:val="contentLocked"/>
              </w:sdtPr>
              <w:sdtContent>
                <w:tc>
                  <w:tcPr>
                    <w:tcW w:w="8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42B9E5" w14:textId="77777777" w:rsidR="009A7D47" w:rsidRDefault="00000000">
                    <w:pPr>
                      <w:jc w:val="center"/>
                    </w:pPr>
                    <w:r>
                      <w:t>1</w:t>
                    </w:r>
                  </w:p>
                </w:tc>
              </w:sdtContent>
            </w:sdt>
            <w:sdt>
              <w:sdtPr>
                <w:tag w:val="goog_rdk_38"/>
                <w:id w:val="-1823336960"/>
                <w:lock w:val="contentLocked"/>
              </w:sdtPr>
              <w:sdtContent>
                <w:tc>
                  <w:tcPr>
                    <w:tcW w:w="8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E268F3" w14:textId="77777777" w:rsidR="009A7D47" w:rsidRDefault="00000000">
                    <w:pPr>
                      <w:jc w:val="center"/>
                    </w:pPr>
                    <w:r>
                      <w:t>1</w:t>
                    </w:r>
                  </w:p>
                </w:tc>
              </w:sdtContent>
            </w:sdt>
            <w:sdt>
              <w:sdtPr>
                <w:tag w:val="goog_rdk_39"/>
                <w:id w:val="1818341123"/>
                <w:lock w:val="contentLocked"/>
              </w:sdtPr>
              <w:sdtContent>
                <w:tc>
                  <w:tcPr>
                    <w:tcW w:w="429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FE0F530" w14:textId="77777777" w:rsidR="009A7D47" w:rsidRDefault="00000000">
                    <w:r>
                      <w:t>Keduanya mengungkap koreksi fiskal tahun lalu.</w:t>
                    </w:r>
                  </w:p>
                </w:tc>
              </w:sdtContent>
            </w:sdt>
          </w:tr>
        </w:tbl>
      </w:sdtContent>
    </w:sdt>
    <w:p w14:paraId="23B0A3E3" w14:textId="77777777" w:rsidR="009A7D47" w:rsidRDefault="00000000">
      <w:pPr>
        <w:widowControl/>
        <w:spacing w:line="360" w:lineRule="auto"/>
        <w:jc w:val="both"/>
      </w:pPr>
      <w:r>
        <w:t>Sumber : Diolah penulis (2025)</w:t>
      </w:r>
    </w:p>
    <w:p w14:paraId="4A8C0A24" w14:textId="77777777" w:rsidR="009A7D47" w:rsidRDefault="009A7D47">
      <w:pPr>
        <w:widowControl/>
        <w:jc w:val="both"/>
      </w:pPr>
    </w:p>
    <w:p w14:paraId="796DD646" w14:textId="77777777" w:rsidR="009A7D47" w:rsidRDefault="009A7D47">
      <w:pPr>
        <w:widowControl/>
        <w:spacing w:line="276" w:lineRule="auto"/>
        <w:rPr>
          <w:b/>
          <w:bCs/>
        </w:rPr>
      </w:pPr>
    </w:p>
    <w:p w14:paraId="05C23B69" w14:textId="77777777" w:rsidR="009A7D47" w:rsidRDefault="00000000">
      <w:pPr>
        <w:widowControl/>
        <w:spacing w:line="276" w:lineRule="auto"/>
        <w:jc w:val="center"/>
        <w:rPr>
          <w:b/>
          <w:bCs/>
        </w:rPr>
      </w:pPr>
      <w:r>
        <w:rPr>
          <w:b/>
          <w:bCs/>
        </w:rPr>
        <w:t>Tabel 2. Tabel Indeks Pengungkapan</w:t>
      </w:r>
    </w:p>
    <w:sdt>
      <w:sdtPr>
        <w:tag w:val="goog_rdk_41"/>
        <w:id w:val="-1571633345"/>
        <w:lock w:val="contentLocked"/>
      </w:sdtPr>
      <w:sdtContent>
        <w:tbl>
          <w:tblPr>
            <w:tblStyle w:val="a5"/>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2415"/>
            <w:gridCol w:w="2100"/>
            <w:gridCol w:w="2565"/>
          </w:tblGrid>
          <w:tr w:rsidR="009A7D47" w14:paraId="26E15944" w14:textId="77777777">
            <w:tc>
              <w:tcPr>
                <w:tcW w:w="1995" w:type="dxa"/>
                <w:shd w:val="clear" w:color="auto" w:fill="auto"/>
                <w:tcMar>
                  <w:top w:w="100" w:type="dxa"/>
                  <w:left w:w="100" w:type="dxa"/>
                  <w:bottom w:w="100" w:type="dxa"/>
                  <w:right w:w="100" w:type="dxa"/>
                </w:tcMar>
              </w:tcPr>
              <w:p w14:paraId="076DE7EA" w14:textId="77777777" w:rsidR="009A7D47" w:rsidRDefault="00000000">
                <w:pPr>
                  <w:jc w:val="center"/>
                  <w:rPr>
                    <w:b/>
                    <w:bCs/>
                  </w:rPr>
                </w:pPr>
                <w:r>
                  <w:rPr>
                    <w:b/>
                    <w:bCs/>
                  </w:rPr>
                  <w:t>Perusahaan</w:t>
                </w:r>
              </w:p>
            </w:tc>
            <w:tc>
              <w:tcPr>
                <w:tcW w:w="2415" w:type="dxa"/>
                <w:shd w:val="clear" w:color="auto" w:fill="auto"/>
                <w:tcMar>
                  <w:top w:w="100" w:type="dxa"/>
                  <w:left w:w="100" w:type="dxa"/>
                  <w:bottom w:w="100" w:type="dxa"/>
                  <w:right w:w="100" w:type="dxa"/>
                </w:tcMar>
              </w:tcPr>
              <w:p w14:paraId="1E66BB66" w14:textId="77777777" w:rsidR="009A7D47" w:rsidRDefault="00000000">
                <w:pPr>
                  <w:jc w:val="center"/>
                  <w:rPr>
                    <w:b/>
                    <w:bCs/>
                  </w:rPr>
                </w:pPr>
                <w:r>
                  <w:rPr>
                    <w:b/>
                    <w:bCs/>
                  </w:rPr>
                  <w:t>Skor Pengungkapan</w:t>
                </w:r>
              </w:p>
            </w:tc>
            <w:tc>
              <w:tcPr>
                <w:tcW w:w="2100" w:type="dxa"/>
                <w:shd w:val="clear" w:color="auto" w:fill="auto"/>
                <w:tcMar>
                  <w:top w:w="100" w:type="dxa"/>
                  <w:left w:w="100" w:type="dxa"/>
                  <w:bottom w:w="100" w:type="dxa"/>
                  <w:right w:w="100" w:type="dxa"/>
                </w:tcMar>
              </w:tcPr>
              <w:p w14:paraId="66300527" w14:textId="77777777" w:rsidR="009A7D47" w:rsidRDefault="00000000">
                <w:pPr>
                  <w:jc w:val="center"/>
                  <w:rPr>
                    <w:b/>
                    <w:bCs/>
                  </w:rPr>
                </w:pPr>
                <w:r>
                  <w:rPr>
                    <w:b/>
                    <w:bCs/>
                  </w:rPr>
                  <w:t>Total Indikator</w:t>
                </w:r>
              </w:p>
            </w:tc>
            <w:tc>
              <w:tcPr>
                <w:tcW w:w="2565" w:type="dxa"/>
                <w:shd w:val="clear" w:color="auto" w:fill="auto"/>
                <w:tcMar>
                  <w:top w:w="100" w:type="dxa"/>
                  <w:left w:w="100" w:type="dxa"/>
                  <w:bottom w:w="100" w:type="dxa"/>
                  <w:right w:w="100" w:type="dxa"/>
                </w:tcMar>
              </w:tcPr>
              <w:p w14:paraId="5B42A5D9" w14:textId="77777777" w:rsidR="009A7D47" w:rsidRDefault="00000000">
                <w:pPr>
                  <w:jc w:val="center"/>
                  <w:rPr>
                    <w:b/>
                    <w:bCs/>
                  </w:rPr>
                </w:pPr>
                <w:r>
                  <w:rPr>
                    <w:b/>
                    <w:bCs/>
                  </w:rPr>
                  <w:t>Indeks</w:t>
                </w:r>
              </w:p>
            </w:tc>
          </w:tr>
          <w:tr w:rsidR="009A7D47" w14:paraId="587E7B56" w14:textId="77777777">
            <w:tc>
              <w:tcPr>
                <w:tcW w:w="1995" w:type="dxa"/>
                <w:shd w:val="clear" w:color="auto" w:fill="auto"/>
                <w:tcMar>
                  <w:top w:w="100" w:type="dxa"/>
                  <w:left w:w="100" w:type="dxa"/>
                  <w:bottom w:w="100" w:type="dxa"/>
                  <w:right w:w="100" w:type="dxa"/>
                </w:tcMar>
              </w:tcPr>
              <w:p w14:paraId="2E2A3A9B" w14:textId="77777777" w:rsidR="009A7D47" w:rsidRDefault="00000000">
                <w:pPr>
                  <w:jc w:val="center"/>
                </w:pPr>
                <w:r>
                  <w:t>INDF</w:t>
                </w:r>
              </w:p>
            </w:tc>
            <w:tc>
              <w:tcPr>
                <w:tcW w:w="2415" w:type="dxa"/>
                <w:shd w:val="clear" w:color="auto" w:fill="auto"/>
                <w:tcMar>
                  <w:top w:w="100" w:type="dxa"/>
                  <w:left w:w="100" w:type="dxa"/>
                  <w:bottom w:w="100" w:type="dxa"/>
                  <w:right w:w="100" w:type="dxa"/>
                </w:tcMar>
              </w:tcPr>
              <w:p w14:paraId="251708ED" w14:textId="77777777" w:rsidR="009A7D47" w:rsidRDefault="00000000">
                <w:pPr>
                  <w:jc w:val="center"/>
                </w:pPr>
                <w:r>
                  <w:t>6/8</w:t>
                </w:r>
              </w:p>
            </w:tc>
            <w:tc>
              <w:tcPr>
                <w:tcW w:w="2100" w:type="dxa"/>
                <w:shd w:val="clear" w:color="auto" w:fill="auto"/>
                <w:tcMar>
                  <w:top w:w="100" w:type="dxa"/>
                  <w:left w:w="100" w:type="dxa"/>
                  <w:bottom w:w="100" w:type="dxa"/>
                  <w:right w:w="100" w:type="dxa"/>
                </w:tcMar>
              </w:tcPr>
              <w:p w14:paraId="7FBE43E9" w14:textId="77777777" w:rsidR="009A7D47" w:rsidRDefault="00000000">
                <w:pPr>
                  <w:jc w:val="center"/>
                </w:pPr>
                <w:r>
                  <w:t>8</w:t>
                </w:r>
              </w:p>
            </w:tc>
            <w:tc>
              <w:tcPr>
                <w:tcW w:w="2565" w:type="dxa"/>
                <w:shd w:val="clear" w:color="auto" w:fill="auto"/>
                <w:tcMar>
                  <w:top w:w="100" w:type="dxa"/>
                  <w:left w:w="100" w:type="dxa"/>
                  <w:bottom w:w="100" w:type="dxa"/>
                  <w:right w:w="100" w:type="dxa"/>
                </w:tcMar>
              </w:tcPr>
              <w:p w14:paraId="41403D5A" w14:textId="77777777" w:rsidR="009A7D47" w:rsidRDefault="00000000">
                <w:pPr>
                  <w:jc w:val="center"/>
                </w:pPr>
                <w:r>
                  <w:t>75%</w:t>
                </w:r>
              </w:p>
            </w:tc>
          </w:tr>
          <w:tr w:rsidR="009A7D47" w14:paraId="51E00013" w14:textId="77777777">
            <w:tc>
              <w:tcPr>
                <w:tcW w:w="1995" w:type="dxa"/>
                <w:shd w:val="clear" w:color="auto" w:fill="auto"/>
                <w:tcMar>
                  <w:top w:w="100" w:type="dxa"/>
                  <w:left w:w="100" w:type="dxa"/>
                  <w:bottom w:w="100" w:type="dxa"/>
                  <w:right w:w="100" w:type="dxa"/>
                </w:tcMar>
              </w:tcPr>
              <w:p w14:paraId="074E83B0" w14:textId="77777777" w:rsidR="009A7D47" w:rsidRDefault="00000000">
                <w:pPr>
                  <w:jc w:val="center"/>
                </w:pPr>
                <w:r>
                  <w:t>MYOR</w:t>
                </w:r>
              </w:p>
            </w:tc>
            <w:tc>
              <w:tcPr>
                <w:tcW w:w="2415" w:type="dxa"/>
                <w:shd w:val="clear" w:color="auto" w:fill="auto"/>
                <w:tcMar>
                  <w:top w:w="100" w:type="dxa"/>
                  <w:left w:w="100" w:type="dxa"/>
                  <w:bottom w:w="100" w:type="dxa"/>
                  <w:right w:w="100" w:type="dxa"/>
                </w:tcMar>
              </w:tcPr>
              <w:p w14:paraId="6A1EAA90" w14:textId="77777777" w:rsidR="009A7D47" w:rsidRDefault="00000000">
                <w:pPr>
                  <w:jc w:val="center"/>
                </w:pPr>
                <w:r>
                  <w:t>7/8</w:t>
                </w:r>
              </w:p>
            </w:tc>
            <w:tc>
              <w:tcPr>
                <w:tcW w:w="2100" w:type="dxa"/>
                <w:shd w:val="clear" w:color="auto" w:fill="auto"/>
                <w:tcMar>
                  <w:top w:w="100" w:type="dxa"/>
                  <w:left w:w="100" w:type="dxa"/>
                  <w:bottom w:w="100" w:type="dxa"/>
                  <w:right w:w="100" w:type="dxa"/>
                </w:tcMar>
              </w:tcPr>
              <w:p w14:paraId="358235EC" w14:textId="77777777" w:rsidR="009A7D47" w:rsidRDefault="00000000">
                <w:pPr>
                  <w:jc w:val="center"/>
                </w:pPr>
                <w:r>
                  <w:t>8</w:t>
                </w:r>
              </w:p>
            </w:tc>
            <w:tc>
              <w:tcPr>
                <w:tcW w:w="2565" w:type="dxa"/>
                <w:shd w:val="clear" w:color="auto" w:fill="auto"/>
                <w:tcMar>
                  <w:top w:w="100" w:type="dxa"/>
                  <w:left w:w="100" w:type="dxa"/>
                  <w:bottom w:w="100" w:type="dxa"/>
                  <w:right w:w="100" w:type="dxa"/>
                </w:tcMar>
              </w:tcPr>
              <w:p w14:paraId="5F5B6FE1" w14:textId="77777777" w:rsidR="009A7D47" w:rsidRDefault="00000000">
                <w:pPr>
                  <w:jc w:val="center"/>
                </w:pPr>
                <w:r>
                  <w:t>87.5%</w:t>
                </w:r>
              </w:p>
            </w:tc>
          </w:tr>
        </w:tbl>
      </w:sdtContent>
    </w:sdt>
    <w:p w14:paraId="196FC3FA" w14:textId="77777777" w:rsidR="009A7D47" w:rsidRDefault="00000000">
      <w:pPr>
        <w:widowControl/>
        <w:jc w:val="both"/>
      </w:pPr>
      <w:r>
        <w:t>Sumber: Diolah Penulis (2025)</w:t>
      </w:r>
    </w:p>
    <w:p w14:paraId="6FBE16F3" w14:textId="77777777" w:rsidR="009A7D47" w:rsidRDefault="009A7D47">
      <w:pPr>
        <w:widowControl/>
        <w:jc w:val="both"/>
      </w:pPr>
    </w:p>
    <w:p w14:paraId="6A834CE7" w14:textId="77777777" w:rsidR="009A7D47" w:rsidRDefault="00000000">
      <w:pPr>
        <w:widowControl/>
        <w:ind w:firstLine="720"/>
        <w:jc w:val="both"/>
      </w:pPr>
      <w:r>
        <w:t>Indeks pengungkapan dihitung dengan metode scoring 1/0, yaitu skor 1 untuk indikator yang diungkapkan dan skor 0 jika tidak diungkapkan, kemudian dijadikan persentase dari total indikator, sesuai metode yang diusulkan oleh Patell (1991), Hossain, Tan, &amp; Adams (1994), dan diaplikasikan dalam konteks penelitian Indonesia oleh Ghozali &amp; Chariri (2007). Metode ini memberikan gambaran kuantitatif mengenai tingkat pengungkapan sukarela yang dimiliki setiap perusahaan.</w:t>
      </w:r>
    </w:p>
    <w:p w14:paraId="4A2A3806" w14:textId="77777777" w:rsidR="009A7D47" w:rsidRDefault="009A7D47">
      <w:pPr>
        <w:widowControl/>
        <w:jc w:val="both"/>
      </w:pPr>
    </w:p>
    <w:p w14:paraId="50B40C8E" w14:textId="77777777" w:rsidR="009A7D47" w:rsidRDefault="00000000">
      <w:pPr>
        <w:widowControl/>
        <w:numPr>
          <w:ilvl w:val="0"/>
          <w:numId w:val="3"/>
        </w:numPr>
        <w:pBdr>
          <w:top w:val="nil"/>
          <w:left w:val="nil"/>
          <w:bottom w:val="nil"/>
          <w:right w:val="nil"/>
          <w:between w:val="nil"/>
        </w:pBdr>
        <w:ind w:left="425"/>
        <w:jc w:val="both"/>
        <w:rPr>
          <w:b/>
          <w:bCs/>
        </w:rPr>
      </w:pPr>
      <w:r>
        <w:rPr>
          <w:b/>
          <w:bCs/>
        </w:rPr>
        <w:t>Pembahasan Hasil Penelitian</w:t>
      </w:r>
    </w:p>
    <w:p w14:paraId="26527D47" w14:textId="77777777" w:rsidR="009A7D47" w:rsidRDefault="00000000">
      <w:pPr>
        <w:widowControl/>
        <w:ind w:firstLine="720"/>
        <w:jc w:val="both"/>
      </w:pPr>
      <w:r>
        <w:t>Hasil analisis menunjukkan bahwa MYOR memiliki tingkat pengungkapan lebih tinggi (87,5%) dibandingkan INDF (75%). Perbedaan signifikan terlihat pada indikator sumber perbedaan temporer, di mana MYOR menjelaskan secara rinci penyebab perbedaan antara laba akuntansi dan fiskal, sedangkan INDF tidak.</w:t>
      </w:r>
    </w:p>
    <w:p w14:paraId="459CD087" w14:textId="77777777" w:rsidR="009A7D47" w:rsidRDefault="00000000">
      <w:pPr>
        <w:widowControl/>
        <w:ind w:firstLine="720"/>
        <w:jc w:val="both"/>
      </w:pPr>
      <w:r>
        <w:t>Tingkat pengungkapan sukarela yang tinggi ini menunjukkan komitmen perusahaan untuk transparan dan memberikan informasi yang jelas terkait kewajiban pajak masa depan, sejalan dengan teori keagenan yang menekankan pentingnya transparansi untuk mengurangi asimetri informasi antara manajemen dan investor (Damayanti &amp; Nafsiah, 2022).</w:t>
      </w:r>
    </w:p>
    <w:p w14:paraId="2BF8ACAD" w14:textId="77777777" w:rsidR="009A7D47" w:rsidRDefault="00000000">
      <w:pPr>
        <w:widowControl/>
        <w:ind w:firstLine="720"/>
        <w:jc w:val="both"/>
      </w:pPr>
      <w:r>
        <w:t>Pengungkapan sukarela beban pajak tangguhan juga dapat menjadi sinyal positif bagi investor terkait manajemen risiko pajak dan integritas pelaporan keuangan. Sebaliknya, jika tingkat pengungkapan rendah, investor mungkin menilai adanya risiko praktik tax avoidance legal yang dapat memicu konflik kepentingan antara manajemen dan pemegang saham.</w:t>
      </w:r>
    </w:p>
    <w:p w14:paraId="7E053652" w14:textId="77777777" w:rsidR="009A7D47" w:rsidRDefault="00000000">
      <w:pPr>
        <w:widowControl/>
        <w:ind w:firstLine="720"/>
        <w:jc w:val="both"/>
        <w:rPr>
          <w:highlight w:val="white"/>
        </w:rPr>
      </w:pPr>
      <w:r>
        <w:t>Selain itu, penggunaan indeks pengungkapan 1/0 sebagaimana digunakan dalam penelitian ini memungkinkan peneliti untuk membandingkan tingkat transparansi antar perusahaan secara objektif, sehingga mendukung evaluasi praktik pengungkapan yang konsisten dengan PSAK 46 dan standar akademik internasional (Patell, 1991; Hossain et al., 1994; Ghozali &amp; Chariri, 2007).</w:t>
      </w:r>
    </w:p>
    <w:p w14:paraId="2901E0F3" w14:textId="77777777" w:rsidR="009A7D47" w:rsidRDefault="009A7D47"/>
    <w:p w14:paraId="481F992D" w14:textId="77777777" w:rsidR="009A7D47" w:rsidRDefault="00000000">
      <w:pPr>
        <w:pStyle w:val="Heading1"/>
        <w:spacing w:before="80" w:after="80"/>
        <w:ind w:left="0"/>
      </w:pPr>
      <w:r>
        <w:t>KESIMPULAN DAN SARAN</w:t>
      </w:r>
    </w:p>
    <w:p w14:paraId="7F443773" w14:textId="77777777" w:rsidR="009A7D47" w:rsidRDefault="00000000">
      <w:pPr>
        <w:widowControl/>
        <w:jc w:val="both"/>
      </w:pPr>
      <w:r>
        <w:rPr>
          <w:b/>
          <w:bCs/>
        </w:rPr>
        <w:t>KESIMPULAN</w:t>
      </w:r>
      <w:r>
        <w:t xml:space="preserve"> </w:t>
      </w:r>
    </w:p>
    <w:p w14:paraId="77102A63" w14:textId="77777777" w:rsidR="009A7D47" w:rsidRDefault="00000000">
      <w:pPr>
        <w:widowControl/>
        <w:ind w:firstLine="720"/>
        <w:jc w:val="both"/>
      </w:pPr>
      <w:r>
        <w:t>Berdasarkan hasil penelitian mengenai pengungkapan sukarela beban pajak tangguhan pada perusahaan manufaktur yang terdaftar di BEI, dapat ditarik beberapa kesimpulan:</w:t>
      </w:r>
    </w:p>
    <w:p w14:paraId="423722A8" w14:textId="77777777" w:rsidR="009A7D47" w:rsidRDefault="00000000">
      <w:pPr>
        <w:widowControl/>
        <w:numPr>
          <w:ilvl w:val="0"/>
          <w:numId w:val="2"/>
        </w:numPr>
        <w:ind w:left="360" w:hanging="270"/>
        <w:jc w:val="both"/>
      </w:pPr>
      <w:r>
        <w:t>Terdapat perbedaan tingkat pengungkapan beban pajak tangguhan antara PT Indofood Sukses Makmur Tbk (INDF) sebesar 75% dan PT Mayora Indah Tbk (MYOR) sebesar 87,5%.</w:t>
      </w:r>
    </w:p>
    <w:p w14:paraId="58396943" w14:textId="77777777" w:rsidR="009A7D47" w:rsidRDefault="00000000">
      <w:pPr>
        <w:widowControl/>
        <w:numPr>
          <w:ilvl w:val="0"/>
          <w:numId w:val="2"/>
        </w:numPr>
        <w:ind w:left="360" w:hanging="270"/>
        <w:jc w:val="both"/>
      </w:pPr>
      <w:r>
        <w:t>Perbedaan utama terlihat pada indikator sumber perbedaan temporer, di mana MYOR memberikan penjelasan rinci, sedangkan INDF tidak.</w:t>
      </w:r>
    </w:p>
    <w:p w14:paraId="2D880E33" w14:textId="77777777" w:rsidR="009A7D47" w:rsidRDefault="00000000">
      <w:pPr>
        <w:widowControl/>
        <w:numPr>
          <w:ilvl w:val="0"/>
          <w:numId w:val="2"/>
        </w:numPr>
        <w:ind w:left="360" w:hanging="270"/>
        <w:jc w:val="both"/>
      </w:pPr>
      <w:r>
        <w:t>Tingginya tingkat pengungkapan sukarela menunjukkan komitmen perusahaan untuk transparan dalam pelaporan kewajiban pajak masa depan, sesuai dengan teori keagenan, dimana manajemen berupaya mengurangi asimetri informasi kepada investor (Damayanti &amp; Nafsiah, 2022).</w:t>
      </w:r>
    </w:p>
    <w:p w14:paraId="579592B8" w14:textId="77777777" w:rsidR="009A7D47" w:rsidRDefault="00000000">
      <w:pPr>
        <w:widowControl/>
        <w:numPr>
          <w:ilvl w:val="0"/>
          <w:numId w:val="2"/>
        </w:numPr>
        <w:ind w:left="360" w:hanging="270"/>
        <w:jc w:val="both"/>
      </w:pPr>
      <w:r>
        <w:t>Metode pengukuran indeks pengungkapan dengan scoring 1/0 dan persentase dari total indikator, sebagaimana digunakan oleh Patell (1991), Hossain et al. (1994), dan Ghozali &amp; Chariri (2007), efektif untuk menilai tingkat transparansi pengungkapan sukarela secara kuantitatif.</w:t>
      </w:r>
    </w:p>
    <w:p w14:paraId="202A6EAB" w14:textId="77777777" w:rsidR="009A7D47" w:rsidRDefault="00000000">
      <w:pPr>
        <w:widowControl/>
        <w:jc w:val="both"/>
      </w:pPr>
      <w:r>
        <w:t>Secara keseluruhan, hasil penelitian ini menunjukkan bahwa pengungkapan sukarela beban pajak tangguhan merupakan indikator penting transparansi dan akuntabilitas perusahaan bagi investor dan pemangku kepentingan.</w:t>
      </w:r>
    </w:p>
    <w:p w14:paraId="16E45716" w14:textId="77777777" w:rsidR="009A7D47" w:rsidRDefault="009A7D47">
      <w:pPr>
        <w:widowControl/>
        <w:jc w:val="both"/>
        <w:rPr>
          <w:b/>
          <w:bCs/>
        </w:rPr>
      </w:pPr>
    </w:p>
    <w:p w14:paraId="50EDACF9" w14:textId="77777777" w:rsidR="009A7D47" w:rsidRDefault="00000000">
      <w:pPr>
        <w:widowControl/>
        <w:jc w:val="both"/>
        <w:rPr>
          <w:b/>
          <w:bCs/>
        </w:rPr>
      </w:pPr>
      <w:r>
        <w:rPr>
          <w:b/>
          <w:bCs/>
        </w:rPr>
        <w:t>SARAN</w:t>
      </w:r>
    </w:p>
    <w:p w14:paraId="4911BF52" w14:textId="77777777" w:rsidR="009A7D47" w:rsidRDefault="00000000">
      <w:pPr>
        <w:widowControl/>
        <w:jc w:val="both"/>
      </w:pPr>
      <w:r>
        <w:t>Berdasarkan temuan penelitian, beberapa saran yang dapat diberikan adalah:</w:t>
      </w:r>
    </w:p>
    <w:p w14:paraId="48E59816" w14:textId="77777777" w:rsidR="009A7D47" w:rsidRDefault="00000000">
      <w:pPr>
        <w:widowControl/>
        <w:numPr>
          <w:ilvl w:val="0"/>
          <w:numId w:val="4"/>
        </w:numPr>
        <w:jc w:val="both"/>
      </w:pPr>
      <w:r>
        <w:lastRenderedPageBreak/>
        <w:t>Penelitian selanjutnya sebaiknya menggunakan sampel yang lebih besar dan membandingkan beberapa sektor industri agar hasil dapat digeneralisasi.</w:t>
      </w:r>
    </w:p>
    <w:p w14:paraId="2B086207" w14:textId="77777777" w:rsidR="009A7D47" w:rsidRDefault="00000000">
      <w:pPr>
        <w:widowControl/>
        <w:numPr>
          <w:ilvl w:val="0"/>
          <w:numId w:val="4"/>
        </w:numPr>
        <w:jc w:val="both"/>
      </w:pPr>
      <w:r>
        <w:t>Variabel tambahan seperti ukuran perusahaan, kepemilikan, kualitas audit, dan kompleksitas transaksi dapat dianalisis untuk memahami faktor-faktor yang mempengaruhi tingkat pengungkapan pajak tangguhan.</w:t>
      </w:r>
    </w:p>
    <w:p w14:paraId="7BA57ECE" w14:textId="77777777" w:rsidR="009A7D47" w:rsidRDefault="00000000">
      <w:pPr>
        <w:widowControl/>
        <w:numPr>
          <w:ilvl w:val="0"/>
          <w:numId w:val="4"/>
        </w:numPr>
        <w:jc w:val="both"/>
      </w:pPr>
      <w:r>
        <w:t>Penggunaan metode kuantitatif atau campuran kuantitatif-kualitatif dapat memperkuat analisis hubungan antara faktor perusahaan dan tingkat pengungkapan.</w:t>
      </w:r>
    </w:p>
    <w:p w14:paraId="16FEA3FE" w14:textId="77777777" w:rsidR="009A7D47" w:rsidRDefault="00000000">
      <w:pPr>
        <w:widowControl/>
        <w:numPr>
          <w:ilvl w:val="0"/>
          <w:numId w:val="4"/>
        </w:numPr>
        <w:jc w:val="both"/>
      </w:pPr>
      <w:r>
        <w:t>Bagi perusahaan, disarankan untuk meningkatkan pengungkapan sukarela, khususnya pada indikator sumber perbedaan temporer, agar investor dapat menilai risiko pajak masa depan dengan lebih jelas.</w:t>
      </w:r>
    </w:p>
    <w:p w14:paraId="41E60431" w14:textId="77777777" w:rsidR="009A7D47" w:rsidRDefault="00000000">
      <w:pPr>
        <w:widowControl/>
        <w:jc w:val="both"/>
      </w:pPr>
      <w:r>
        <w:t>Dengan implementasi saran-saran tersebut, penelitian berikutnya dapat memberikan pemahaman lebih komprehensif tentang praktik pengungkapan pajak tangguhan dan dampaknya terhadap transparansi laporan keuangan perusahaan.</w:t>
      </w:r>
    </w:p>
    <w:p w14:paraId="303B9921" w14:textId="77777777" w:rsidR="009A7D47" w:rsidRDefault="009A7D47">
      <w:pPr>
        <w:widowControl/>
        <w:jc w:val="both"/>
      </w:pPr>
    </w:p>
    <w:p w14:paraId="796E4BD8" w14:textId="77777777" w:rsidR="009A7D47" w:rsidRDefault="00000000">
      <w:pPr>
        <w:widowControl/>
        <w:jc w:val="both"/>
        <w:rPr>
          <w:b/>
          <w:bCs/>
          <w:highlight w:val="white"/>
        </w:rPr>
      </w:pPr>
      <w:r>
        <w:rPr>
          <w:b/>
          <w:bCs/>
          <w:highlight w:val="white"/>
        </w:rPr>
        <w:t>DAFTAR PUSTAKA</w:t>
      </w:r>
    </w:p>
    <w:p w14:paraId="54984EC3" w14:textId="77777777" w:rsidR="00375D42" w:rsidRDefault="00000000" w:rsidP="00375D42">
      <w:pPr>
        <w:widowControl/>
        <w:ind w:left="709" w:hanging="709"/>
        <w:jc w:val="both"/>
        <w:rPr>
          <w:highlight w:val="white"/>
        </w:rPr>
      </w:pPr>
      <w:r>
        <w:rPr>
          <w:highlight w:val="white"/>
        </w:rPr>
        <w:t xml:space="preserve">Arviani, R., &amp; Setyawati, W. (2025). Pengaruh beban pajak tangguhan, corporate governance dan transfer pricing terhadap penghindaran pajak. </w:t>
      </w:r>
      <w:r>
        <w:rPr>
          <w:i/>
          <w:iCs/>
          <w:highlight w:val="white"/>
        </w:rPr>
        <w:t>Jurnal Nusa Akuntansi</w:t>
      </w:r>
      <w:r>
        <w:rPr>
          <w:highlight w:val="white"/>
        </w:rPr>
        <w:t>, 2(3), 1360–1382.</w:t>
      </w:r>
    </w:p>
    <w:p w14:paraId="62080BF4" w14:textId="77777777" w:rsidR="00375D42" w:rsidRDefault="00000000" w:rsidP="00375D42">
      <w:pPr>
        <w:widowControl/>
        <w:ind w:left="709" w:hanging="709"/>
        <w:jc w:val="both"/>
        <w:rPr>
          <w:highlight w:val="white"/>
        </w:rPr>
      </w:pPr>
      <w:r>
        <w:rPr>
          <w:highlight w:val="white"/>
        </w:rPr>
        <w:t xml:space="preserve">Damayanti, D., &amp; Nafsiah, S. N. (2022). Pengaruh ukuran perusahaan, beban pajak tangguhan dan leverage terhadap tindakan penghindaran pajak (tax avoidance) dengan transparansi sebagai variabel moderating pada perusahaan manufaktur yang terdaftar di BEI. </w:t>
      </w:r>
      <w:r>
        <w:rPr>
          <w:i/>
          <w:iCs/>
          <w:highlight w:val="white"/>
        </w:rPr>
        <w:t>Jurnal Media Wahana Ekonomika</w:t>
      </w:r>
      <w:r>
        <w:rPr>
          <w:highlight w:val="white"/>
        </w:rPr>
        <w:t>, 19(3), 367–382.</w:t>
      </w:r>
    </w:p>
    <w:p w14:paraId="1400DAC2" w14:textId="77777777" w:rsidR="00375D42" w:rsidRDefault="00000000" w:rsidP="00375D42">
      <w:pPr>
        <w:widowControl/>
        <w:ind w:left="709" w:hanging="709"/>
        <w:jc w:val="both"/>
        <w:rPr>
          <w:highlight w:val="white"/>
        </w:rPr>
      </w:pPr>
      <w:r>
        <w:rPr>
          <w:highlight w:val="white"/>
        </w:rPr>
        <w:t xml:space="preserve">Ghozali, I., &amp; Chariri, A. (2007). </w:t>
      </w:r>
      <w:r>
        <w:rPr>
          <w:i/>
          <w:iCs/>
          <w:highlight w:val="white"/>
        </w:rPr>
        <w:t>Pengaruh corporate governance, leverage, dan profitabilitas terhadap pengungkapan sukarela</w:t>
      </w:r>
      <w:r>
        <w:rPr>
          <w:highlight w:val="white"/>
        </w:rPr>
        <w:t>. Semarang: Universitas Diponegoro.</w:t>
      </w:r>
    </w:p>
    <w:p w14:paraId="5111150D" w14:textId="77777777" w:rsidR="00375D42" w:rsidRDefault="00000000" w:rsidP="00375D42">
      <w:pPr>
        <w:widowControl/>
        <w:ind w:left="709" w:hanging="709"/>
        <w:jc w:val="both"/>
        <w:rPr>
          <w:highlight w:val="white"/>
        </w:rPr>
      </w:pPr>
      <w:r>
        <w:rPr>
          <w:highlight w:val="white"/>
        </w:rPr>
        <w:t xml:space="preserve">Hossain, M., Tan, L. M., &amp; Adams, M. (1994). Voluntary disclosure in the annual reports of New Zealand companies. </w:t>
      </w:r>
      <w:r>
        <w:rPr>
          <w:i/>
          <w:iCs/>
          <w:highlight w:val="white"/>
        </w:rPr>
        <w:t>Journal of International Financial Management &amp; Accounting</w:t>
      </w:r>
      <w:r>
        <w:rPr>
          <w:highlight w:val="white"/>
        </w:rPr>
        <w:t xml:space="preserve">, 5(1), 69–87. </w:t>
      </w:r>
      <w:hyperlink r:id="rId10">
        <w:r>
          <w:rPr>
            <w:color w:val="1155CC"/>
            <w:highlight w:val="white"/>
            <w:u w:val="single"/>
          </w:rPr>
          <w:t>https://doi.org/10.1111/j.1467-646X.1994.tb00014.x</w:t>
        </w:r>
      </w:hyperlink>
    </w:p>
    <w:p w14:paraId="7C47E8BC" w14:textId="77777777" w:rsidR="00375D42" w:rsidRDefault="00000000" w:rsidP="00375D42">
      <w:pPr>
        <w:widowControl/>
        <w:ind w:left="709" w:hanging="709"/>
        <w:jc w:val="both"/>
        <w:rPr>
          <w:highlight w:val="white"/>
        </w:rPr>
      </w:pPr>
      <w:r>
        <w:rPr>
          <w:highlight w:val="white"/>
        </w:rPr>
        <w:t xml:space="preserve">Kanji, L. (2019). Perencanaan pajak dan beban pajak tangguhan terhadap manajemen laba pada perusahaan manufaktur yang terdaftar di Bursa Efek Indonesia. </w:t>
      </w:r>
      <w:r>
        <w:rPr>
          <w:i/>
          <w:iCs/>
          <w:highlight w:val="white"/>
        </w:rPr>
        <w:t>Bongaya Journal of Research in Accounting (BJRA)</w:t>
      </w:r>
      <w:r>
        <w:rPr>
          <w:highlight w:val="white"/>
        </w:rPr>
        <w:t>, 2(1), 20–27.</w:t>
      </w:r>
    </w:p>
    <w:p w14:paraId="4CDC9D3F" w14:textId="77777777" w:rsidR="00375D42" w:rsidRDefault="00000000" w:rsidP="00375D42">
      <w:pPr>
        <w:widowControl/>
        <w:ind w:left="709" w:hanging="709"/>
        <w:jc w:val="both"/>
        <w:rPr>
          <w:highlight w:val="white"/>
        </w:rPr>
      </w:pPr>
      <w:r>
        <w:rPr>
          <w:highlight w:val="white"/>
        </w:rPr>
        <w:t xml:space="preserve">Nurkhasanah, N., &amp; Arfianti, R. I. (2024). Analisis pengakuan, pengukuran, penyajian dan pengungkapan pajak tangguhan berdasarkan PSAK 46. </w:t>
      </w:r>
      <w:r>
        <w:rPr>
          <w:i/>
          <w:iCs/>
          <w:highlight w:val="white"/>
        </w:rPr>
        <w:t>Jurnal Akuntansi</w:t>
      </w:r>
      <w:r>
        <w:rPr>
          <w:highlight w:val="white"/>
        </w:rPr>
        <w:t>, 13(1), 76–84.</w:t>
      </w:r>
    </w:p>
    <w:p w14:paraId="7DBE3235" w14:textId="5512CA02" w:rsidR="009A7D47" w:rsidRDefault="00000000" w:rsidP="00375D42">
      <w:pPr>
        <w:widowControl/>
        <w:ind w:left="709" w:hanging="709"/>
        <w:jc w:val="both"/>
        <w:rPr>
          <w:highlight w:val="white"/>
        </w:rPr>
      </w:pPr>
      <w:r>
        <w:rPr>
          <w:highlight w:val="white"/>
        </w:rPr>
        <w:t xml:space="preserve">Patell, J. M. (1991). Disclosure level and the cost of capital. </w:t>
      </w:r>
      <w:r>
        <w:rPr>
          <w:i/>
          <w:iCs/>
          <w:highlight w:val="white"/>
        </w:rPr>
        <w:t>Journal of Accounting, Auditing &amp; Finance</w:t>
      </w:r>
      <w:r>
        <w:rPr>
          <w:highlight w:val="white"/>
        </w:rPr>
        <w:t>, 6(1), 2–16. https://doi.org/10.1177/0148558X9100600102</w:t>
      </w:r>
    </w:p>
    <w:p w14:paraId="049920C8" w14:textId="77777777" w:rsidR="009A7D47" w:rsidRDefault="009A7D47">
      <w:pPr>
        <w:jc w:val="both"/>
      </w:pPr>
    </w:p>
    <w:p w14:paraId="018B4026" w14:textId="77777777" w:rsidR="009A7D47" w:rsidRDefault="009A7D47">
      <w:pPr>
        <w:jc w:val="both"/>
        <w:rPr>
          <w:sz w:val="24"/>
          <w:szCs w:val="24"/>
        </w:rPr>
      </w:pPr>
    </w:p>
    <w:sectPr w:rsidR="009A7D47" w:rsidSect="00375D42">
      <w:footerReference w:type="default" r:id="rId11"/>
      <w:pgSz w:w="11910" w:h="16840"/>
      <w:pgMar w:top="1700" w:right="1133" w:bottom="1133" w:left="1700" w:header="804" w:footer="1314"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E900" w14:textId="77777777" w:rsidR="007966B9" w:rsidRDefault="007966B9">
      <w:r>
        <w:separator/>
      </w:r>
    </w:p>
  </w:endnote>
  <w:endnote w:type="continuationSeparator" w:id="0">
    <w:p w14:paraId="1456B4D3" w14:textId="77777777" w:rsidR="007966B9" w:rsidRDefault="0079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B08527E-413C-40D8-B94B-A60D4CC9CC4B}"/>
  </w:font>
  <w:font w:name="Arial Black">
    <w:panose1 w:val="020B0A04020102020204"/>
    <w:charset w:val="00"/>
    <w:family w:val="swiss"/>
    <w:pitch w:val="variable"/>
    <w:sig w:usb0="A00002AF" w:usb1="400078FB" w:usb2="00000000" w:usb3="00000000" w:csb0="0000009F" w:csb1="00000000"/>
    <w:embedRegular r:id="rId2" w:fontKey="{357C3981-353F-4C09-9401-553445135B39}"/>
  </w:font>
  <w:font w:name="Calibri Light">
    <w:panose1 w:val="020F0302020204030204"/>
    <w:charset w:val="00"/>
    <w:family w:val="swiss"/>
    <w:pitch w:val="variable"/>
    <w:sig w:usb0="E4002EFF" w:usb1="C200247B" w:usb2="00000009" w:usb3="00000000" w:csb0="000001FF" w:csb1="00000000"/>
    <w:embedRegular r:id="rId3" w:fontKey="{580AD4E5-6FFD-41D7-ACA7-176D47B91C29}"/>
  </w:font>
  <w:font w:name="Calibri">
    <w:panose1 w:val="020F0502020204030204"/>
    <w:charset w:val="00"/>
    <w:family w:val="swiss"/>
    <w:pitch w:val="variable"/>
    <w:sig w:usb0="E4002EFF" w:usb1="C200247B" w:usb2="00000009" w:usb3="00000000" w:csb0="000001FF" w:csb1="00000000"/>
    <w:embedRegular r:id="rId4" w:fontKey="{BE2E6AA9-9895-451D-98B9-919C6C8BD6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D4FA" w14:textId="77777777" w:rsidR="009A7D47"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A54D6">
      <w:rPr>
        <w:noProof/>
        <w:color w:val="000000"/>
      </w:rPr>
      <w:t>119</w:t>
    </w:r>
    <w:r>
      <w:rPr>
        <w:color w:val="000000"/>
      </w:rPr>
      <w:fldChar w:fldCharType="end"/>
    </w:r>
  </w:p>
  <w:p w14:paraId="5EDA6179" w14:textId="77777777" w:rsidR="009A7D47" w:rsidRDefault="009A7D4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1D7E5" w14:textId="77777777" w:rsidR="007966B9" w:rsidRDefault="007966B9">
      <w:r>
        <w:separator/>
      </w:r>
    </w:p>
  </w:footnote>
  <w:footnote w:type="continuationSeparator" w:id="0">
    <w:p w14:paraId="42AE24B3" w14:textId="77777777" w:rsidR="007966B9" w:rsidRDefault="00796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CBE"/>
    <w:multiLevelType w:val="multilevel"/>
    <w:tmpl w:val="F7B2E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5F7143"/>
    <w:multiLevelType w:val="multilevel"/>
    <w:tmpl w:val="AC4EB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18644C"/>
    <w:multiLevelType w:val="multilevel"/>
    <w:tmpl w:val="FB80EB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DE23FC4"/>
    <w:multiLevelType w:val="multilevel"/>
    <w:tmpl w:val="EDEAA7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16848B2"/>
    <w:multiLevelType w:val="multilevel"/>
    <w:tmpl w:val="49AC9E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42563CC"/>
    <w:multiLevelType w:val="multilevel"/>
    <w:tmpl w:val="9418ED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DB95D7D"/>
    <w:multiLevelType w:val="multilevel"/>
    <w:tmpl w:val="82F0CA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1B64A63"/>
    <w:multiLevelType w:val="multilevel"/>
    <w:tmpl w:val="0310C6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304701449">
    <w:abstractNumId w:val="1"/>
  </w:num>
  <w:num w:numId="2" w16cid:durableId="1995640444">
    <w:abstractNumId w:val="4"/>
  </w:num>
  <w:num w:numId="3" w16cid:durableId="1017777609">
    <w:abstractNumId w:val="6"/>
  </w:num>
  <w:num w:numId="4" w16cid:durableId="1017078060">
    <w:abstractNumId w:val="7"/>
  </w:num>
  <w:num w:numId="5" w16cid:durableId="1178733132">
    <w:abstractNumId w:val="2"/>
  </w:num>
  <w:num w:numId="6" w16cid:durableId="591164395">
    <w:abstractNumId w:val="5"/>
  </w:num>
  <w:num w:numId="7" w16cid:durableId="1479879758">
    <w:abstractNumId w:val="0"/>
  </w:num>
  <w:num w:numId="8" w16cid:durableId="2009021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D47"/>
    <w:rsid w:val="000F41C8"/>
    <w:rsid w:val="001A54D6"/>
    <w:rsid w:val="00375D42"/>
    <w:rsid w:val="00426A46"/>
    <w:rsid w:val="007966B9"/>
    <w:rsid w:val="009A7D47"/>
    <w:rsid w:val="00C62A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C9E7D"/>
  <w15:docId w15:val="{17BB6ADB-8A05-40BE-8783-9A1738D6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9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300A7F"/>
    <w:pPr>
      <w:widowControl/>
      <w:spacing w:before="100" w:beforeAutospacing="1" w:after="100" w:afterAutospacing="1"/>
    </w:pPr>
    <w:rPr>
      <w:sz w:val="24"/>
      <w:szCs w:val="24"/>
      <w:lang w:val="en-ID"/>
    </w:r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111/j.1467-646X.1994.tb00014.x"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82FoFKAFECV8psdkP1pmOZ2oUQ==">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2608</Words>
  <Characters>14872</Characters>
  <Application>Microsoft Office Word</Application>
  <DocSecurity>0</DocSecurity>
  <Lines>123</Lines>
  <Paragraphs>34</Paragraphs>
  <ScaleCrop>false</ScaleCrop>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3</cp:revision>
  <dcterms:created xsi:type="dcterms:W3CDTF">2020-03-29T15:28:00Z</dcterms:created>
  <dcterms:modified xsi:type="dcterms:W3CDTF">2026-01-29T11:25:00Z</dcterms:modified>
</cp:coreProperties>
</file>