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F4A2C" w14:textId="5C037286" w:rsidR="00763DF2" w:rsidRDefault="00F13389">
      <w:pPr>
        <w:pStyle w:val="Title"/>
        <w:spacing w:before="1"/>
        <w:ind w:left="0"/>
        <w:jc w:val="left"/>
      </w:pPr>
      <w:r>
        <w:rPr>
          <w:noProof/>
        </w:rPr>
        <w:drawing>
          <wp:anchor distT="0" distB="0" distL="0" distR="0" simplePos="0" relativeHeight="251658240" behindDoc="1" locked="0" layoutInCell="1" hidden="0" allowOverlap="1" wp14:anchorId="5B4F55F8" wp14:editId="1E3B2EC2">
            <wp:simplePos x="0" y="0"/>
            <wp:positionH relativeFrom="column">
              <wp:posOffset>-208915</wp:posOffset>
            </wp:positionH>
            <wp:positionV relativeFrom="paragraph">
              <wp:posOffset>207010</wp:posOffset>
            </wp:positionV>
            <wp:extent cx="1294765" cy="914400"/>
            <wp:effectExtent l="0" t="0" r="635" b="0"/>
            <wp:wrapNone/>
            <wp:docPr id="212909137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294765" cy="914400"/>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1773AF84" wp14:editId="7F4863BD">
                <wp:simplePos x="0" y="0"/>
                <wp:positionH relativeFrom="column">
                  <wp:posOffset>1102995</wp:posOffset>
                </wp:positionH>
                <wp:positionV relativeFrom="paragraph">
                  <wp:posOffset>196215</wp:posOffset>
                </wp:positionV>
                <wp:extent cx="4924425" cy="942975"/>
                <wp:effectExtent l="0" t="0" r="0" b="0"/>
                <wp:wrapNone/>
                <wp:docPr id="2129091376" name="Rectangle 2129091376"/>
                <wp:cNvGraphicFramePr/>
                <a:graphic xmlns:a="http://schemas.openxmlformats.org/drawingml/2006/main">
                  <a:graphicData uri="http://schemas.microsoft.com/office/word/2010/wordprocessingShape">
                    <wps:wsp>
                      <wps:cNvSpPr/>
                      <wps:spPr>
                        <a:xfrm>
                          <a:off x="0" y="0"/>
                          <a:ext cx="4924425" cy="942975"/>
                        </a:xfrm>
                        <a:prstGeom prst="rect">
                          <a:avLst/>
                        </a:prstGeom>
                        <a:solidFill>
                          <a:srgbClr val="9CC2E5"/>
                        </a:solidFill>
                        <a:ln w="9525" cap="flat" cmpd="sng">
                          <a:solidFill>
                            <a:srgbClr val="000000"/>
                          </a:solidFill>
                          <a:prstDash val="solid"/>
                          <a:miter lim="800000"/>
                          <a:headEnd type="none" w="sm" len="sm"/>
                          <a:tailEnd type="none" w="sm" len="sm"/>
                        </a:ln>
                      </wps:spPr>
                      <wps:txbx>
                        <w:txbxContent>
                          <w:p w14:paraId="7762A672" w14:textId="77777777" w:rsidR="00763DF2" w:rsidRDefault="00000000">
                            <w:pPr>
                              <w:jc w:val="center"/>
                              <w:textDirection w:val="btLr"/>
                            </w:pPr>
                            <w:r>
                              <w:rPr>
                                <w:rFonts w:ascii="Arial Black" w:eastAsia="Arial Black" w:hAnsi="Arial Black" w:cs="Arial Black"/>
                                <w:color w:val="000000"/>
                                <w:sz w:val="28"/>
                              </w:rPr>
                              <w:t>JURNAL AKUNTANSI PERPAJAKAN INDONESIA</w:t>
                            </w:r>
                          </w:p>
                          <w:p w14:paraId="1E986C4F" w14:textId="77777777" w:rsidR="00763DF2" w:rsidRDefault="00000000">
                            <w:pPr>
                              <w:jc w:val="center"/>
                              <w:textDirection w:val="btLr"/>
                            </w:pPr>
                            <w:r>
                              <w:rPr>
                                <w:rFonts w:ascii="Arial Black" w:eastAsia="Arial Black" w:hAnsi="Arial Black" w:cs="Arial Black"/>
                                <w:color w:val="000000"/>
                                <w:sz w:val="24"/>
                              </w:rPr>
                              <w:t>Indonesian Tax Accounting Journal</w:t>
                            </w:r>
                          </w:p>
                          <w:p w14:paraId="587FE724" w14:textId="77777777" w:rsidR="00763DF2" w:rsidRDefault="00000000">
                            <w:pPr>
                              <w:jc w:val="center"/>
                              <w:textDirection w:val="btLr"/>
                            </w:pPr>
                            <w:r>
                              <w:rPr>
                                <w:color w:val="0563C1"/>
                                <w:u w:val="single"/>
                              </w:rPr>
                              <w:t>http://openjournal.unpam.ac.id/index.php/JAPI/issue/current</w:t>
                            </w:r>
                          </w:p>
                          <w:p w14:paraId="3DD3451E" w14:textId="426076E7" w:rsidR="00763DF2" w:rsidRDefault="00000000">
                            <w:pPr>
                              <w:jc w:val="center"/>
                              <w:textDirection w:val="btLr"/>
                            </w:pPr>
                            <w:r>
                              <w:rPr>
                                <w:color w:val="000000"/>
                                <w:sz w:val="20"/>
                              </w:rPr>
                              <w:t xml:space="preserve">Volume </w:t>
                            </w:r>
                            <w:r w:rsidR="00F451A7">
                              <w:rPr>
                                <w:color w:val="000000"/>
                                <w:sz w:val="20"/>
                              </w:rPr>
                              <w:t>5</w:t>
                            </w:r>
                            <w:r>
                              <w:rPr>
                                <w:color w:val="000000"/>
                                <w:sz w:val="20"/>
                              </w:rPr>
                              <w:t xml:space="preserve"> (</w:t>
                            </w:r>
                            <w:r w:rsidR="00F451A7">
                              <w:rPr>
                                <w:color w:val="000000"/>
                                <w:sz w:val="20"/>
                              </w:rPr>
                              <w:t>1</w:t>
                            </w:r>
                            <w:r>
                              <w:rPr>
                                <w:color w:val="000000"/>
                                <w:sz w:val="20"/>
                              </w:rPr>
                              <w:t xml:space="preserve">) 2026,  </w:t>
                            </w:r>
                            <w:r w:rsidR="00F13389">
                              <w:rPr>
                                <w:color w:val="000000"/>
                                <w:sz w:val="20"/>
                              </w:rPr>
                              <w:t>74-81</w:t>
                            </w:r>
                          </w:p>
                          <w:p w14:paraId="6D0F5F18" w14:textId="77777777" w:rsidR="00763DF2" w:rsidRDefault="00763DF2">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1773AF84" id="Rectangle 2129091376" o:spid="_x0000_s1026" style="position:absolute;margin-left:86.85pt;margin-top:15.45pt;width:387.75pt;height:74.2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" fillcolor="#9cc2e5">
                <v:stroke startarrowwidth="narrow" startarrowlength="short" endarrowwidth="narrow" endarrowlength="short"/>
                <v:textbox inset="2.53958mm,1.2694mm,2.53958mm,1.2694mm">
                  <w:txbxContent>
                    <w:p w14:paraId="7762A672" w14:textId="77777777" w:rsidR="00763DF2" w:rsidRDefault="00000000">
                      <w:pPr>
                        <w:jc w:val="center"/>
                        <w:textDirection w:val="btLr"/>
                      </w:pPr>
                      <w:r>
                        <w:rPr>
                          <w:rFonts w:ascii="Arial Black" w:eastAsia="Arial Black" w:hAnsi="Arial Black" w:cs="Arial Black"/>
                          <w:color w:val="000000"/>
                          <w:sz w:val="28"/>
                        </w:rPr>
                        <w:t>JURNAL AKUNTANSI PERPAJAKAN INDONESIA</w:t>
                      </w:r>
                    </w:p>
                    <w:p w14:paraId="1E986C4F" w14:textId="77777777" w:rsidR="00763DF2" w:rsidRDefault="00000000">
                      <w:pPr>
                        <w:jc w:val="center"/>
                        <w:textDirection w:val="btLr"/>
                      </w:pPr>
                      <w:r>
                        <w:rPr>
                          <w:rFonts w:ascii="Arial Black" w:eastAsia="Arial Black" w:hAnsi="Arial Black" w:cs="Arial Black"/>
                          <w:color w:val="000000"/>
                          <w:sz w:val="24"/>
                        </w:rPr>
                        <w:t>Indonesian Tax Accounting Journal</w:t>
                      </w:r>
                    </w:p>
                    <w:p w14:paraId="587FE724" w14:textId="77777777" w:rsidR="00763DF2" w:rsidRDefault="00000000">
                      <w:pPr>
                        <w:jc w:val="center"/>
                        <w:textDirection w:val="btLr"/>
                      </w:pPr>
                      <w:r>
                        <w:rPr>
                          <w:color w:val="0563C1"/>
                          <w:u w:val="single"/>
                        </w:rPr>
                        <w:t>http://openjournal.unpam.ac.id/index.php/JAPI/issue/current</w:t>
                      </w:r>
                    </w:p>
                    <w:p w14:paraId="3DD3451E" w14:textId="426076E7" w:rsidR="00763DF2" w:rsidRDefault="00000000">
                      <w:pPr>
                        <w:jc w:val="center"/>
                        <w:textDirection w:val="btLr"/>
                      </w:pPr>
                      <w:r>
                        <w:rPr>
                          <w:color w:val="000000"/>
                          <w:sz w:val="20"/>
                        </w:rPr>
                        <w:t xml:space="preserve">Volume </w:t>
                      </w:r>
                      <w:r w:rsidR="00F451A7">
                        <w:rPr>
                          <w:color w:val="000000"/>
                          <w:sz w:val="20"/>
                        </w:rPr>
                        <w:t>5</w:t>
                      </w:r>
                      <w:r>
                        <w:rPr>
                          <w:color w:val="000000"/>
                          <w:sz w:val="20"/>
                        </w:rPr>
                        <w:t xml:space="preserve"> (</w:t>
                      </w:r>
                      <w:r w:rsidR="00F451A7">
                        <w:rPr>
                          <w:color w:val="000000"/>
                          <w:sz w:val="20"/>
                        </w:rPr>
                        <w:t>1</w:t>
                      </w:r>
                      <w:r>
                        <w:rPr>
                          <w:color w:val="000000"/>
                          <w:sz w:val="20"/>
                        </w:rPr>
                        <w:t xml:space="preserve">) 2026,  </w:t>
                      </w:r>
                      <w:r w:rsidR="00F13389">
                        <w:rPr>
                          <w:color w:val="000000"/>
                          <w:sz w:val="20"/>
                        </w:rPr>
                        <w:t>74-81</w:t>
                      </w:r>
                    </w:p>
                    <w:p w14:paraId="6D0F5F18" w14:textId="77777777" w:rsidR="00763DF2" w:rsidRDefault="00763DF2">
                      <w:pPr>
                        <w:jc w:val="center"/>
                        <w:textDirection w:val="btLr"/>
                      </w:pPr>
                    </w:p>
                  </w:txbxContent>
                </v:textbox>
              </v:rect>
            </w:pict>
          </mc:Fallback>
        </mc:AlternateContent>
      </w:r>
    </w:p>
    <w:p w14:paraId="7A5D2BBC" w14:textId="03653088" w:rsidR="00763DF2" w:rsidRDefault="00000000">
      <w:pPr>
        <w:spacing w:after="240"/>
        <w:rPr>
          <w:sz w:val="20"/>
          <w:szCs w:val="20"/>
        </w:rPr>
      </w:pPr>
      <w:r>
        <w:rPr>
          <w:b/>
          <w:bCs/>
          <w:sz w:val="24"/>
          <w:szCs w:val="24"/>
        </w:rPr>
        <w:t xml:space="preserve"> </w:t>
      </w:r>
    </w:p>
    <w:p w14:paraId="6363BC83" w14:textId="77777777" w:rsidR="00763DF2" w:rsidRDefault="00763DF2">
      <w:pPr>
        <w:rPr>
          <w:sz w:val="20"/>
          <w:szCs w:val="20"/>
        </w:rPr>
      </w:pPr>
    </w:p>
    <w:p w14:paraId="0443D91E" w14:textId="77777777" w:rsidR="00763DF2" w:rsidRDefault="00763DF2">
      <w:pPr>
        <w:rPr>
          <w:sz w:val="20"/>
          <w:szCs w:val="20"/>
        </w:rPr>
      </w:pPr>
    </w:p>
    <w:p w14:paraId="39ECFA1D" w14:textId="2397F376" w:rsidR="00763DF2" w:rsidRDefault="00763DF2">
      <w:pPr>
        <w:rPr>
          <w:sz w:val="20"/>
          <w:szCs w:val="20"/>
        </w:rPr>
      </w:pPr>
    </w:p>
    <w:p w14:paraId="5343F670" w14:textId="1763CD03" w:rsidR="00763DF2" w:rsidRDefault="00F13389">
      <w:pPr>
        <w:rPr>
          <w:sz w:val="20"/>
          <w:szCs w:val="20"/>
        </w:rPr>
      </w:pPr>
      <w:r>
        <w:rPr>
          <w:noProof/>
        </w:rPr>
        <mc:AlternateContent>
          <mc:Choice Requires="wpg">
            <w:drawing>
              <wp:anchor distT="0" distB="0" distL="0" distR="0" simplePos="0" relativeHeight="251660288" behindDoc="1" locked="0" layoutInCell="1" hidden="0" allowOverlap="1" wp14:anchorId="2C475738" wp14:editId="148132DD">
                <wp:simplePos x="0" y="0"/>
                <wp:positionH relativeFrom="column">
                  <wp:posOffset>-192405</wp:posOffset>
                </wp:positionH>
                <wp:positionV relativeFrom="paragraph">
                  <wp:posOffset>120650</wp:posOffset>
                </wp:positionV>
                <wp:extent cx="6210300" cy="171450"/>
                <wp:effectExtent l="0" t="0" r="19050" b="0"/>
                <wp:wrapNone/>
                <wp:docPr id="2129091375" name="Group 2129091375"/>
                <wp:cNvGraphicFramePr/>
                <a:graphic xmlns:a="http://schemas.openxmlformats.org/drawingml/2006/main">
                  <a:graphicData uri="http://schemas.microsoft.com/office/word/2010/wordprocessingGroup">
                    <wpg:wgp>
                      <wpg:cNvGrpSpPr/>
                      <wpg:grpSpPr>
                        <a:xfrm>
                          <a:off x="0" y="0"/>
                          <a:ext cx="6210300" cy="171450"/>
                          <a:chOff x="2240850" y="3694275"/>
                          <a:chExt cx="6210300" cy="171450"/>
                        </a:xfrm>
                      </wpg:grpSpPr>
                      <wpg:grpSp>
                        <wpg:cNvPr id="1" name="Group 1"/>
                        <wpg:cNvGrpSpPr/>
                        <wpg:grpSpPr>
                          <a:xfrm>
                            <a:off x="2240850" y="3694275"/>
                            <a:ext cx="6210300" cy="171450"/>
                            <a:chOff x="2240850" y="3694275"/>
                            <a:chExt cx="6210300" cy="171450"/>
                          </a:xfrm>
                        </wpg:grpSpPr>
                        <wps:wsp>
                          <wps:cNvPr id="2" name="Rectangle 2"/>
                          <wps:cNvSpPr/>
                          <wps:spPr>
                            <a:xfrm>
                              <a:off x="2240850" y="3694275"/>
                              <a:ext cx="6210300" cy="171450"/>
                            </a:xfrm>
                            <a:prstGeom prst="rect">
                              <a:avLst/>
                            </a:prstGeom>
                            <a:noFill/>
                            <a:ln>
                              <a:noFill/>
                            </a:ln>
                          </wps:spPr>
                          <wps:txbx>
                            <w:txbxContent>
                              <w:p w14:paraId="41F35ECB" w14:textId="77777777" w:rsidR="00763DF2" w:rsidRDefault="00763DF2">
                                <w:pPr>
                                  <w:textDirection w:val="btLr"/>
                                </w:pPr>
                              </w:p>
                            </w:txbxContent>
                          </wps:txbx>
                          <wps:bodyPr spcFirstLastPara="1" wrap="square" lIns="91425" tIns="91425" rIns="91425" bIns="91425" anchor="ctr" anchorCtr="0">
                            <a:noAutofit/>
                          </wps:bodyPr>
                        </wps:wsp>
                        <wpg:grpSp>
                          <wpg:cNvPr id="3" name="Group 3"/>
                          <wpg:cNvGrpSpPr/>
                          <wpg:grpSpPr>
                            <a:xfrm>
                              <a:off x="2240850" y="3694275"/>
                              <a:ext cx="6210300" cy="171450"/>
                              <a:chOff x="2240850" y="3694275"/>
                              <a:chExt cx="6210300" cy="101925"/>
                            </a:xfrm>
                          </wpg:grpSpPr>
                          <wps:wsp>
                            <wps:cNvPr id="4" name="Rectangle 4"/>
                            <wps:cNvSpPr/>
                            <wps:spPr>
                              <a:xfrm>
                                <a:off x="2240850" y="3694275"/>
                                <a:ext cx="6210300" cy="101925"/>
                              </a:xfrm>
                              <a:prstGeom prst="rect">
                                <a:avLst/>
                              </a:prstGeom>
                              <a:noFill/>
                              <a:ln>
                                <a:noFill/>
                              </a:ln>
                            </wps:spPr>
                            <wps:txbx>
                              <w:txbxContent>
                                <w:p w14:paraId="7E5D4D9A" w14:textId="77777777" w:rsidR="00763DF2" w:rsidRDefault="00763DF2">
                                  <w:pPr>
                                    <w:textDirection w:val="btLr"/>
                                  </w:pPr>
                                </w:p>
                              </w:txbxContent>
                            </wps:txbx>
                            <wps:bodyPr spcFirstLastPara="1" wrap="square" lIns="91425" tIns="91425" rIns="91425" bIns="91425" anchor="ctr" anchorCtr="0">
                              <a:noAutofit/>
                            </wps:bodyPr>
                          </wps:wsp>
                          <wpg:grpSp>
                            <wpg:cNvPr id="5" name="Group 5"/>
                            <wpg:cNvGrpSpPr/>
                            <wpg:grpSpPr>
                              <a:xfrm>
                                <a:off x="2240850" y="3694275"/>
                                <a:ext cx="6210300" cy="95250"/>
                                <a:chOff x="0" y="0"/>
                                <a:chExt cx="10082" cy="25"/>
                              </a:xfrm>
                            </wpg:grpSpPr>
                            <wps:wsp>
                              <wps:cNvPr id="6" name="Rectangle 6"/>
                              <wps:cNvSpPr/>
                              <wps:spPr>
                                <a:xfrm>
                                  <a:off x="0" y="0"/>
                                  <a:ext cx="10075" cy="25"/>
                                </a:xfrm>
                                <a:prstGeom prst="rect">
                                  <a:avLst/>
                                </a:prstGeom>
                                <a:noFill/>
                                <a:ln>
                                  <a:noFill/>
                                </a:ln>
                              </wps:spPr>
                              <wps:txbx>
                                <w:txbxContent>
                                  <w:p w14:paraId="5C5D5247" w14:textId="77777777" w:rsidR="00763DF2" w:rsidRDefault="00763DF2">
                                    <w:pPr>
                                      <w:textDirection w:val="btLr"/>
                                    </w:pPr>
                                  </w:p>
                                </w:txbxContent>
                              </wps:txbx>
                              <wps:bodyPr spcFirstLastPara="1" wrap="square" lIns="91425" tIns="91425" rIns="91425" bIns="91425" anchor="ctr" anchorCtr="0">
                                <a:noAutofit/>
                              </wps:bodyPr>
                            </wps:wsp>
                            <wps:wsp>
                              <wps:cNvPr id="7" name="Straight Arrow Connector 7"/>
                              <wps:cNvCnPr/>
                              <wps:spPr>
                                <a:xfrm>
                                  <a:off x="0" y="23"/>
                                  <a:ext cx="10082" cy="0"/>
                                </a:xfrm>
                                <a:prstGeom prst="straightConnector1">
                                  <a:avLst/>
                                </a:prstGeom>
                                <a:noFill/>
                                <a:ln w="28575" cap="flat" cmpd="sng">
                                  <a:solidFill>
                                    <a:srgbClr val="000000"/>
                                  </a:solidFill>
                                  <a:prstDash val="solid"/>
                                  <a:round/>
                                  <a:headEnd type="none" w="sm" len="sm"/>
                                  <a:tailEnd type="none" w="sm" len="sm"/>
                                </a:ln>
                              </wps:spPr>
                              <wps:bodyPr/>
                            </wps:wsp>
                          </wpg:grpSp>
                        </wpg:grpSp>
                      </wpg:grpSp>
                    </wpg:wgp>
                  </a:graphicData>
                </a:graphic>
              </wp:anchor>
            </w:drawing>
          </mc:Choice>
          <mc:Fallback>
            <w:pict>
              <v:group w14:anchorId="2C475738" id="Group 2129091375" o:spid="_x0000_s1027" style="position:absolute;margin-left:-15.15pt;margin-top:9.5pt;width:489pt;height:13.5pt;z-index:-251656192;mso-wrap-distance-left:0;mso-wrap-distance-right:0" coordorigin="22408,36942" coordsize="62103,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">
                <v:group id="Group 1" o:spid="_x0000_s1028" style="position:absolute;left:22408;top:36942;width:62103;height:1715" coordorigin="22408,36942" coordsize="62103,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22408;top:36942;width:62103;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1F35ECB" w14:textId="77777777" w:rsidR="00763DF2" w:rsidRDefault="00763DF2">
                          <w:pPr>
                            <w:textDirection w:val="btLr"/>
                          </w:pPr>
                        </w:p>
                      </w:txbxContent>
                    </v:textbox>
                  </v:rect>
                  <v:group id="Group 3" o:spid="_x0000_s1030" style="position:absolute;left:22408;top:36942;width:62103;height:1715" coordorigin="22408,36942" coordsize="6210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left:22408;top:36942;width:62103;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7E5D4D9A" w14:textId="77777777" w:rsidR="00763DF2" w:rsidRDefault="00763DF2">
                            <w:pPr>
                              <w:textDirection w:val="btLr"/>
                            </w:pPr>
                          </w:p>
                        </w:txbxContent>
                      </v:textbox>
                    </v:rect>
                    <v:group id="Group 5" o:spid="_x0000_s1032" style="position:absolute;left:22408;top:36942;width:62103;height:953" coordsize="100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3" style="position:absolute;width:10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5C5D5247" w14:textId="77777777" w:rsidR="00763DF2" w:rsidRDefault="00763DF2">
                              <w:pPr>
                                <w:textDirection w:val="btLr"/>
                              </w:pPr>
                            </w:p>
                          </w:txbxContent>
                        </v:textbox>
                      </v:rect>
                      <v:shapetype id="_x0000_t32" coordsize="21600,21600" o:spt="32" o:oned="t" path="m,l21600,21600e" filled="f">
                        <v:path arrowok="t" fillok="f" o:connecttype="none"/>
                        <o:lock v:ext="edit" shapetype="t"/>
                      </v:shapetype>
                      <v:shape id="Straight Arrow Connector 7" o:spid="_x0000_s1034" type="#_x0000_t32" style="position:absolute;top:23;width:10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" strokeweight="2.25pt">
                        <v:stroke startarrowwidth="narrow" startarrowlength="short" endarrowwidth="narrow" endarrowlength="short"/>
                      </v:shape>
                    </v:group>
                  </v:group>
                </v:group>
              </v:group>
            </w:pict>
          </mc:Fallback>
        </mc:AlternateContent>
      </w:r>
    </w:p>
    <w:p w14:paraId="71520099" w14:textId="1A8DF968" w:rsidR="00763DF2" w:rsidRDefault="00763DF2">
      <w:pPr>
        <w:jc w:val="center"/>
        <w:rPr>
          <w:sz w:val="20"/>
          <w:szCs w:val="20"/>
        </w:rPr>
      </w:pPr>
    </w:p>
    <w:p w14:paraId="71EDEC95" w14:textId="77777777" w:rsidR="00763DF2" w:rsidRDefault="00763DF2">
      <w:pPr>
        <w:rPr>
          <w:sz w:val="20"/>
          <w:szCs w:val="20"/>
        </w:rPr>
      </w:pPr>
    </w:p>
    <w:p w14:paraId="4F9A0BD6" w14:textId="77777777" w:rsidR="00763DF2" w:rsidRDefault="00763DF2">
      <w:pPr>
        <w:rPr>
          <w:sz w:val="20"/>
          <w:szCs w:val="20"/>
        </w:rPr>
      </w:pPr>
    </w:p>
    <w:p w14:paraId="63C4E662" w14:textId="4902FEFF" w:rsidR="00763DF2" w:rsidRDefault="00750419">
      <w:pPr>
        <w:spacing w:after="240"/>
        <w:jc w:val="center"/>
        <w:rPr>
          <w:b/>
          <w:bCs/>
        </w:rPr>
      </w:pPr>
      <w:r>
        <w:rPr>
          <w:b/>
          <w:bCs/>
        </w:rPr>
        <w:t>Analisis Kinerja Keuangan PT Astra International Tbk Sebelum Dan Sesudah Pandemi Covid-19</w:t>
      </w:r>
    </w:p>
    <w:p w14:paraId="13C72F0C" w14:textId="1D5D6CEC" w:rsidR="00763DF2" w:rsidRDefault="00000000">
      <w:pPr>
        <w:jc w:val="center"/>
        <w:rPr>
          <w:b/>
          <w:bCs/>
          <w:sz w:val="20"/>
          <w:szCs w:val="20"/>
          <w:vertAlign w:val="superscript"/>
        </w:rPr>
      </w:pPr>
      <w:r>
        <w:rPr>
          <w:b/>
          <w:bCs/>
          <w:sz w:val="20"/>
          <w:szCs w:val="20"/>
        </w:rPr>
        <w:t>Triyani Nur Endah Sari</w:t>
      </w:r>
      <w:r>
        <w:rPr>
          <w:b/>
          <w:bCs/>
          <w:sz w:val="20"/>
          <w:szCs w:val="20"/>
          <w:vertAlign w:val="superscript"/>
        </w:rPr>
        <w:t>1</w:t>
      </w:r>
      <w:r w:rsidR="00750419">
        <w:rPr>
          <w:b/>
          <w:bCs/>
          <w:sz w:val="20"/>
          <w:szCs w:val="20"/>
          <w:vertAlign w:val="superscript"/>
        </w:rPr>
        <w:t>*</w:t>
      </w:r>
      <w:r>
        <w:rPr>
          <w:b/>
          <w:bCs/>
          <w:sz w:val="20"/>
          <w:szCs w:val="20"/>
        </w:rPr>
        <w:t>, Fitrisah</w:t>
      </w:r>
      <w:r>
        <w:rPr>
          <w:b/>
          <w:bCs/>
          <w:sz w:val="20"/>
          <w:szCs w:val="20"/>
          <w:vertAlign w:val="superscript"/>
        </w:rPr>
        <w:t>2</w:t>
      </w:r>
      <w:r>
        <w:rPr>
          <w:b/>
          <w:bCs/>
          <w:sz w:val="20"/>
          <w:szCs w:val="20"/>
        </w:rPr>
        <w:t>, Annisa Yulianty</w:t>
      </w:r>
      <w:r>
        <w:rPr>
          <w:b/>
          <w:bCs/>
          <w:sz w:val="20"/>
          <w:szCs w:val="20"/>
          <w:vertAlign w:val="superscript"/>
        </w:rPr>
        <w:t>3</w:t>
      </w:r>
      <w:r>
        <w:rPr>
          <w:b/>
          <w:bCs/>
          <w:sz w:val="20"/>
          <w:szCs w:val="20"/>
        </w:rPr>
        <w:t>, Wardok</w:t>
      </w:r>
      <w:r w:rsidR="00750419">
        <w:rPr>
          <w:b/>
          <w:bCs/>
          <w:sz w:val="20"/>
          <w:szCs w:val="20"/>
        </w:rPr>
        <w:t>h</w:t>
      </w:r>
      <w:r>
        <w:rPr>
          <w:b/>
          <w:bCs/>
          <w:sz w:val="20"/>
          <w:szCs w:val="20"/>
        </w:rPr>
        <w:t>i</w:t>
      </w:r>
      <w:r>
        <w:rPr>
          <w:b/>
          <w:bCs/>
          <w:sz w:val="20"/>
          <w:szCs w:val="20"/>
          <w:vertAlign w:val="superscript"/>
        </w:rPr>
        <w:t>4</w:t>
      </w:r>
    </w:p>
    <w:p w14:paraId="5B6492FC" w14:textId="77777777" w:rsidR="00763DF2" w:rsidRDefault="00000000">
      <w:pPr>
        <w:jc w:val="center"/>
        <w:rPr>
          <w:sz w:val="20"/>
          <w:szCs w:val="20"/>
        </w:rPr>
      </w:pPr>
      <w:r>
        <w:rPr>
          <w:sz w:val="20"/>
          <w:szCs w:val="20"/>
        </w:rPr>
        <w:t>Fakultas Ekonomi dan Bisnis, Universitas Pamulang</w:t>
      </w:r>
    </w:p>
    <w:p w14:paraId="3C67AD28" w14:textId="77777777" w:rsidR="00763DF2" w:rsidRDefault="00000000">
      <w:pPr>
        <w:jc w:val="center"/>
        <w:rPr>
          <w:sz w:val="20"/>
          <w:szCs w:val="20"/>
          <w:vertAlign w:val="superscript"/>
        </w:rPr>
      </w:pPr>
      <w:r>
        <w:rPr>
          <w:sz w:val="20"/>
          <w:szCs w:val="20"/>
        </w:rPr>
        <w:t>Email:</w:t>
      </w:r>
      <w:r>
        <w:t xml:space="preserve"> triyani.sari@outlook.com</w:t>
      </w:r>
      <w:r>
        <w:rPr>
          <w:vertAlign w:val="superscript"/>
        </w:rPr>
        <w:t>1</w:t>
      </w:r>
      <w:r>
        <w:t>, fitrisah2023@gmail.com</w:t>
      </w:r>
      <w:r>
        <w:rPr>
          <w:vertAlign w:val="superscript"/>
        </w:rPr>
        <w:t>2</w:t>
      </w:r>
      <w:r>
        <w:t>, annisayulianty3@gmail.com</w:t>
      </w:r>
      <w:r>
        <w:rPr>
          <w:vertAlign w:val="superscript"/>
        </w:rPr>
        <w:t>3</w:t>
      </w:r>
      <w:r>
        <w:t>, dosen02165@unpam.ac.id</w:t>
      </w:r>
      <w:r>
        <w:rPr>
          <w:vertAlign w:val="superscript"/>
        </w:rPr>
        <w:t>4</w:t>
      </w:r>
    </w:p>
    <w:p w14:paraId="706AA8AD" w14:textId="77777777" w:rsidR="00763DF2" w:rsidRDefault="00000000">
      <w:pPr>
        <w:spacing w:before="120" w:after="120"/>
        <w:jc w:val="center"/>
        <w:rPr>
          <w:sz w:val="20"/>
          <w:szCs w:val="20"/>
        </w:rPr>
      </w:pPr>
      <w:r>
        <w:rPr>
          <w:b/>
          <w:bCs/>
          <w:sz w:val="20"/>
          <w:szCs w:val="20"/>
        </w:rPr>
        <w:t>Article History: Received on  27 Desember 2025, Revised on  3 Januari 2026, Published on 30 Januari  2026</w:t>
      </w:r>
    </w:p>
    <w:p w14:paraId="46D5EA2F" w14:textId="77777777" w:rsidR="00763DF2" w:rsidRDefault="00763DF2">
      <w:pPr>
        <w:spacing w:before="8"/>
        <w:jc w:val="center"/>
        <w:rPr>
          <w:b/>
          <w:bCs/>
          <w:i/>
          <w:iCs/>
          <w:sz w:val="24"/>
          <w:szCs w:val="24"/>
        </w:rPr>
      </w:pPr>
    </w:p>
    <w:p w14:paraId="1785F84D" w14:textId="77777777" w:rsidR="00763DF2" w:rsidRDefault="00000000">
      <w:pPr>
        <w:jc w:val="center"/>
        <w:rPr>
          <w:b/>
          <w:bCs/>
          <w:i/>
          <w:iCs/>
          <w:sz w:val="24"/>
          <w:szCs w:val="24"/>
        </w:rPr>
      </w:pPr>
      <w:r>
        <w:rPr>
          <w:b/>
          <w:bCs/>
          <w:i/>
          <w:iCs/>
          <w:sz w:val="24"/>
          <w:szCs w:val="24"/>
        </w:rPr>
        <w:t>ABSTRACT</w:t>
      </w:r>
    </w:p>
    <w:p w14:paraId="099352AE" w14:textId="77777777" w:rsidR="00763DF2" w:rsidRDefault="00763DF2">
      <w:pPr>
        <w:jc w:val="center"/>
        <w:rPr>
          <w:b/>
          <w:bCs/>
          <w:i/>
          <w:iCs/>
          <w:sz w:val="24"/>
          <w:szCs w:val="24"/>
        </w:rPr>
      </w:pPr>
    </w:p>
    <w:p w14:paraId="73D7933B" w14:textId="77777777" w:rsidR="00763DF2" w:rsidRDefault="00000000">
      <w:pPr>
        <w:jc w:val="both"/>
        <w:rPr>
          <w:i/>
          <w:iCs/>
          <w:sz w:val="24"/>
          <w:szCs w:val="24"/>
        </w:rPr>
      </w:pPr>
      <w:r>
        <w:rPr>
          <w:i/>
          <w:iCs/>
          <w:sz w:val="24"/>
          <w:szCs w:val="24"/>
        </w:rPr>
        <w:t xml:space="preserve">The COVID-19 pandemic, which began in early 2020, has had a significant impact on national economic performance, including a decline in business activity, public purchasing power, and disruptions to the global supply chain. This condition has also affected the financial performance of large companies such as PT Astra International Tbk. This study aims to analyze the differences in financial performance before and after the COVID-19 pandemic using the Current Ratio (CR), Debt to Asset Ratio (DAR), and Return on Assets (ROA). The study uses a comparative quantitative approach with secondary data from PT Astra International Tbk's financial statements for the 2018–2023 period. The results show that the company's liquidity is below ideal standards but remains safe, the solvency ratio is consistently below 60%, indicating a healthy capital structure, and profitability declined in 2020 but increased significantly in 2021–2023. These findings indicate that PT Astra International Tbk is able to maintain stable financial performance amidst economic pressures during the COVID-19 pandemic.  </w:t>
      </w:r>
    </w:p>
    <w:p w14:paraId="30383D37" w14:textId="77777777" w:rsidR="00763DF2" w:rsidRDefault="00000000">
      <w:pPr>
        <w:jc w:val="both"/>
        <w:rPr>
          <w:b/>
          <w:bCs/>
          <w:i/>
          <w:iCs/>
          <w:sz w:val="24"/>
          <w:szCs w:val="24"/>
        </w:rPr>
      </w:pPr>
      <w:r>
        <w:rPr>
          <w:b/>
          <w:bCs/>
          <w:i/>
          <w:iCs/>
          <w:sz w:val="24"/>
          <w:szCs w:val="24"/>
        </w:rPr>
        <w:t>Keywords</w:t>
      </w:r>
      <w:r>
        <w:rPr>
          <w:i/>
          <w:iCs/>
          <w:sz w:val="24"/>
          <w:szCs w:val="24"/>
        </w:rPr>
        <w:t>: Financial Performance, Liquidity Ratio, Solvency Ratio, Profitability Ratio, Covid-19 Pandemic</w:t>
      </w:r>
    </w:p>
    <w:p w14:paraId="78912757" w14:textId="77777777" w:rsidR="00763DF2" w:rsidRDefault="00000000">
      <w:pPr>
        <w:ind w:right="174"/>
        <w:jc w:val="center"/>
        <w:rPr>
          <w:b/>
          <w:bCs/>
          <w:color w:val="000000"/>
          <w:sz w:val="24"/>
          <w:szCs w:val="24"/>
        </w:rPr>
      </w:pPr>
      <w:r>
        <w:rPr>
          <w:b/>
          <w:bCs/>
          <w:color w:val="000000"/>
          <w:sz w:val="24"/>
          <w:szCs w:val="24"/>
        </w:rPr>
        <w:t>ABSTRAK</w:t>
      </w:r>
    </w:p>
    <w:p w14:paraId="739F35EE" w14:textId="77777777" w:rsidR="00763DF2" w:rsidRDefault="00763DF2">
      <w:pPr>
        <w:ind w:right="174"/>
        <w:jc w:val="center"/>
        <w:rPr>
          <w:b/>
          <w:bCs/>
          <w:sz w:val="24"/>
          <w:szCs w:val="24"/>
        </w:rPr>
      </w:pPr>
    </w:p>
    <w:p w14:paraId="3DE4D915" w14:textId="77777777" w:rsidR="00763DF2" w:rsidRDefault="00000000">
      <w:pPr>
        <w:jc w:val="both"/>
        <w:rPr>
          <w:sz w:val="24"/>
          <w:szCs w:val="24"/>
        </w:rPr>
      </w:pPr>
      <w:r>
        <w:rPr>
          <w:sz w:val="24"/>
          <w:szCs w:val="24"/>
        </w:rPr>
        <w:t xml:space="preserve">Pandemi COVID-19 yang terjadi sejak awal 2020 memberikan dampak signifikan terhadap kinerja ekonomi nasional, termasuk penurunan aktivitas usaha, daya beli masyarakat, serta gangguan rantai pasok global. Kondisi ini turut memengaruhi kinerja keuangan perusahaan besar seperti PT Astra International Tbk. Penelitian ini bertujuan untuk menganalisis perbedaan kinerja keuangan sebelum dan sesudah pandemi COVID-19 dengan menggunakan rasio </w:t>
      </w:r>
      <w:r>
        <w:rPr>
          <w:i/>
          <w:iCs/>
          <w:sz w:val="24"/>
          <w:szCs w:val="24"/>
        </w:rPr>
        <w:t>Current Ratio (CR), Debt to Asset Ratio (DAR), dan Return on Assets (ROA)</w:t>
      </w:r>
      <w:r>
        <w:rPr>
          <w:sz w:val="24"/>
          <w:szCs w:val="24"/>
        </w:rPr>
        <w:t>. Penelitian menggunakan pendekatan kuantitatif komparatif dengan data sekunder dari laporan keuangan PT Astra International Tbk periode 2018–2023. Hasil penelitian menunjukkan bahwa likuiditas perusahaan berada di bawah standar ideal namun tetap aman, rasio solvabilitas konsisten di bawah 60% yang menandakan struktur modal sehat, serta profitabilitas menurun pada tahun 2020 namun kembali meningkat signifikan pada 2021–2023. Temuan ini menunjukkan bahwa PT Astra International Tbk mampu mempertahankan stabilitas kinerja keuangan di tengah tekanan ekonomi selama pandemi COVID-19.</w:t>
      </w:r>
    </w:p>
    <w:p w14:paraId="0F68CA95" w14:textId="77777777" w:rsidR="00763DF2" w:rsidRDefault="00000000">
      <w:pPr>
        <w:jc w:val="both"/>
        <w:rPr>
          <w:sz w:val="24"/>
          <w:szCs w:val="24"/>
        </w:rPr>
      </w:pPr>
      <w:r>
        <w:rPr>
          <w:sz w:val="24"/>
          <w:szCs w:val="24"/>
        </w:rPr>
        <w:t xml:space="preserve"> </w:t>
      </w:r>
      <w:r>
        <w:rPr>
          <w:b/>
          <w:bCs/>
          <w:sz w:val="24"/>
          <w:szCs w:val="24"/>
        </w:rPr>
        <w:t>Kata Kunci:</w:t>
      </w:r>
      <w:r>
        <w:rPr>
          <w:sz w:val="24"/>
          <w:szCs w:val="24"/>
        </w:rPr>
        <w:t xml:space="preserve"> Kinerja Keuangan, Rasio Likuiditas, Rasio Solvabilitas, Rasio Profitabilitas, Pandemi Covid-19</w:t>
      </w:r>
    </w:p>
    <w:p w14:paraId="42306256" w14:textId="77777777" w:rsidR="00763DF2" w:rsidRDefault="00763DF2">
      <w:pPr>
        <w:jc w:val="both"/>
        <w:rPr>
          <w:sz w:val="24"/>
          <w:szCs w:val="24"/>
        </w:rPr>
      </w:pPr>
    </w:p>
    <w:p w14:paraId="55395D86" w14:textId="77777777" w:rsidR="00763DF2" w:rsidRDefault="00763DF2">
      <w:pPr>
        <w:jc w:val="both"/>
        <w:rPr>
          <w:sz w:val="24"/>
          <w:szCs w:val="24"/>
        </w:rPr>
      </w:pPr>
    </w:p>
    <w:p w14:paraId="7EA7B8BE" w14:textId="77777777" w:rsidR="00750419" w:rsidRDefault="00750419">
      <w:pPr>
        <w:jc w:val="both"/>
        <w:rPr>
          <w:sz w:val="24"/>
          <w:szCs w:val="24"/>
        </w:rPr>
      </w:pPr>
    </w:p>
    <w:p w14:paraId="14C5C72F" w14:textId="77777777" w:rsidR="00763DF2" w:rsidRDefault="00000000">
      <w:pPr>
        <w:jc w:val="both"/>
        <w:rPr>
          <w:b/>
          <w:bCs/>
          <w:sz w:val="24"/>
          <w:szCs w:val="24"/>
        </w:rPr>
      </w:pPr>
      <w:r>
        <w:rPr>
          <w:b/>
          <w:bCs/>
          <w:sz w:val="24"/>
          <w:szCs w:val="24"/>
        </w:rPr>
        <w:lastRenderedPageBreak/>
        <w:t>PENDAHULUAN</w:t>
      </w:r>
    </w:p>
    <w:p w14:paraId="0276FFF7" w14:textId="77777777" w:rsidR="00763DF2" w:rsidRDefault="00000000">
      <w:pPr>
        <w:pBdr>
          <w:top w:val="nil"/>
          <w:left w:val="nil"/>
          <w:bottom w:val="nil"/>
          <w:right w:val="nil"/>
          <w:between w:val="nil"/>
        </w:pBdr>
        <w:ind w:firstLine="720"/>
        <w:jc w:val="both"/>
        <w:rPr>
          <w:color w:val="000000"/>
          <w:sz w:val="24"/>
          <w:szCs w:val="24"/>
        </w:rPr>
      </w:pPr>
      <w:r>
        <w:rPr>
          <w:color w:val="000000"/>
          <w:sz w:val="24"/>
          <w:szCs w:val="24"/>
        </w:rPr>
        <w:t xml:space="preserve">Pandemi COVID-19 yang melanda dunia sejak awal tahun 2020 telah memberikan dampak signifikan terhadap berbagai sektor ekonomi. Kebijakan pembatasan sosial berskala besar (PSBB), penurunan daya beli masyarakat, serta gangguan pada rantai pasok global menyebabkan kinerja keuangan banyak perusahaan menurun secara drastis. Salah satu perusahaan besar yang terdampak adalah PT Astra International Tbk, yang merupakan perusahaan multinasional terkemuka di Indonesia dengan portofolio usaha yang luas, meliputi otomotif, jasa keuangan, alat berat, teknologi informasi, dan agribisnis. Penurunan aktivitas ekonomi nasional akibat pandemi tercermin dari melemahnya pertumbuhan Produk Domestik Bruto (PDB) Indonesia pada tahun 2020. Sektor industri pengolahan, perdagangan, serta transportasi menjadi yang paling terdampak. </w:t>
      </w:r>
    </w:p>
    <w:p w14:paraId="2A464873" w14:textId="77777777" w:rsidR="00763DF2" w:rsidRDefault="00000000">
      <w:pPr>
        <w:pBdr>
          <w:top w:val="nil"/>
          <w:left w:val="nil"/>
          <w:bottom w:val="nil"/>
          <w:right w:val="nil"/>
          <w:between w:val="nil"/>
        </w:pBdr>
        <w:ind w:firstLine="720"/>
        <w:jc w:val="both"/>
        <w:rPr>
          <w:color w:val="000000"/>
          <w:sz w:val="24"/>
          <w:szCs w:val="24"/>
        </w:rPr>
      </w:pPr>
      <w:r>
        <w:rPr>
          <w:color w:val="000000"/>
          <w:sz w:val="24"/>
          <w:szCs w:val="24"/>
        </w:rPr>
        <w:t>Selain penurunan aktivitas ekonomi, pandemi juga berdampak terhadap penerimaan pajak negara. Penerimaan pajak yang merupakan sumber utama pendapatan negara mengalami kontraksi tajam pada tahun 2020, seiring dengan menurunnya profitabilitas dunia usaha dan konsumsi masyarakat. Kondisi ini menegaskan bahwa pandemi COVID-19 tidak hanya mengancam kesehatan masyarakat, tetapi juga stabilitas ekonomi nasional. Kondisi ini berimplikasi langsung terhadap kinerja keuangan perusahaan-perusahaan besar. Menurut Munawir (2010) menyatakan bahwa kinerja keuangan adalah hasil yang dicapai perusahaan dalam periode tertentu yang menggambarkan kondisi keuangan perusahaan berdasarkan indikator-indikator tertentu seperti likuiditas, solvabilitas, dan profitabilitas. Pendapat tersebut diperkuat oleh Harahap (2015) menyatakan bahwa kinerja keuangan adalah gambaran kondisi keuangan perusahaan pada suatu periode yang dianalisis melalui alat analisis seperti rasio keuangan untuk mengetahui posisi keuangan yang nyata.</w:t>
      </w:r>
    </w:p>
    <w:p w14:paraId="65563394" w14:textId="77777777" w:rsidR="00763DF2" w:rsidRDefault="00000000">
      <w:pPr>
        <w:pBdr>
          <w:top w:val="nil"/>
          <w:left w:val="nil"/>
          <w:bottom w:val="nil"/>
          <w:right w:val="nil"/>
          <w:between w:val="nil"/>
        </w:pBdr>
        <w:ind w:firstLine="720"/>
        <w:jc w:val="both"/>
        <w:rPr>
          <w:color w:val="000000"/>
          <w:sz w:val="24"/>
          <w:szCs w:val="24"/>
        </w:rPr>
      </w:pPr>
      <w:r>
        <w:rPr>
          <w:color w:val="000000"/>
          <w:sz w:val="24"/>
          <w:szCs w:val="24"/>
        </w:rPr>
        <w:t xml:space="preserve">Penelitian sebelumnya yang dilakukan oleh Diba dkk (2023) dengan judul “Analisis Kinerja Keuangan Sebelum Dan Sesudah Pandemi Covid-19 Pada PT. Media Nusantara Citra, Tbk Periode 2018-2021” menyimpulkan bahwa </w:t>
      </w:r>
      <w:r>
        <w:rPr>
          <w:i/>
          <w:iCs/>
          <w:color w:val="000000"/>
          <w:sz w:val="24"/>
          <w:szCs w:val="24"/>
        </w:rPr>
        <w:t>current ratio, return on asset, dan total asset turnover</w:t>
      </w:r>
      <w:r>
        <w:rPr>
          <w:color w:val="000000"/>
          <w:sz w:val="24"/>
          <w:szCs w:val="24"/>
        </w:rPr>
        <w:t xml:space="preserve"> tidak terdapat perbedaan yang signifikan namun </w:t>
      </w:r>
      <w:r>
        <w:rPr>
          <w:i/>
          <w:iCs/>
          <w:color w:val="000000"/>
          <w:sz w:val="24"/>
          <w:szCs w:val="24"/>
        </w:rPr>
        <w:t>debt to total asset ratio dan debt to equity ratio</w:t>
      </w:r>
      <w:r>
        <w:rPr>
          <w:color w:val="000000"/>
          <w:sz w:val="24"/>
          <w:szCs w:val="24"/>
        </w:rPr>
        <w:t xml:space="preserve"> terdapat perbedaan yang signifikan. Apakah terdapat perbedaan signifikan dalam kinerja keuangan PT Astra International Tbk sebelum dan sesudah pandemi COVID-19? Penelitian ini bertujuan untuk menganalisis kinerja keuangan PT Astra International Tbk sebelum dan sesudah pandemi COVID-19 dengan menggunakan rasio-rasio keuangan seperti likuiditas, profitabilitas, dan solvabilitas. Analisis ini diharapkan dapat memberikan gambaran yang komprehensif mengenai dampak pandemi terhadap kinerja perusahaan besar di Indonesia serta menjadi referensi bagi investor, manajemen, dan pembuat kebijakan.</w:t>
      </w:r>
    </w:p>
    <w:p w14:paraId="37059067" w14:textId="77777777" w:rsidR="00763DF2" w:rsidRDefault="00000000">
      <w:pPr>
        <w:pBdr>
          <w:top w:val="nil"/>
          <w:left w:val="nil"/>
          <w:bottom w:val="nil"/>
          <w:right w:val="nil"/>
          <w:between w:val="nil"/>
        </w:pBdr>
        <w:spacing w:before="136"/>
        <w:jc w:val="center"/>
        <w:rPr>
          <w:b/>
          <w:bCs/>
          <w:color w:val="000000"/>
          <w:sz w:val="24"/>
          <w:szCs w:val="24"/>
        </w:rPr>
      </w:pPr>
      <w:r>
        <w:rPr>
          <w:b/>
          <w:bCs/>
          <w:color w:val="000000"/>
          <w:sz w:val="24"/>
          <w:szCs w:val="24"/>
        </w:rPr>
        <w:t>Tabel 1</w:t>
      </w:r>
      <w:r>
        <w:rPr>
          <w:color w:val="000000"/>
          <w:sz w:val="24"/>
          <w:szCs w:val="24"/>
        </w:rPr>
        <w:t xml:space="preserve">. </w:t>
      </w:r>
      <w:r>
        <w:rPr>
          <w:b/>
          <w:bCs/>
          <w:color w:val="000000"/>
          <w:sz w:val="24"/>
          <w:szCs w:val="24"/>
        </w:rPr>
        <w:t>Pertumbuhan Ekonomi Indonesia Sebelum dan Saat Pandemi COVID-19</w:t>
      </w:r>
    </w:p>
    <w:p w14:paraId="6B819EE0" w14:textId="77777777" w:rsidR="00763DF2" w:rsidRDefault="00763DF2">
      <w:pPr>
        <w:pBdr>
          <w:top w:val="nil"/>
          <w:left w:val="nil"/>
          <w:bottom w:val="nil"/>
          <w:right w:val="nil"/>
          <w:between w:val="nil"/>
        </w:pBdr>
        <w:spacing w:before="136"/>
        <w:jc w:val="center"/>
        <w:rPr>
          <w:color w:val="000000"/>
          <w:sz w:val="24"/>
          <w:szCs w:val="24"/>
        </w:rPr>
      </w:pPr>
    </w:p>
    <w:tbl>
      <w:tblPr>
        <w:tblStyle w:val="a2"/>
        <w:tblW w:w="43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6"/>
        <w:gridCol w:w="1197"/>
        <w:gridCol w:w="2448"/>
      </w:tblGrid>
      <w:tr w:rsidR="00763DF2" w14:paraId="62717E25" w14:textId="77777777">
        <w:trPr>
          <w:trHeight w:val="511"/>
          <w:jc w:val="center"/>
        </w:trPr>
        <w:tc>
          <w:tcPr>
            <w:tcW w:w="686" w:type="dxa"/>
            <w:shd w:val="clear" w:color="auto" w:fill="BFBFBF"/>
            <w:vAlign w:val="center"/>
          </w:tcPr>
          <w:p w14:paraId="66B8E0F2" w14:textId="77777777" w:rsidR="00763DF2" w:rsidRDefault="00000000">
            <w:pPr>
              <w:spacing w:after="0" w:line="24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Tahun</w:t>
            </w:r>
          </w:p>
        </w:tc>
        <w:tc>
          <w:tcPr>
            <w:tcW w:w="1197" w:type="dxa"/>
            <w:shd w:val="clear" w:color="auto" w:fill="BFBFBF"/>
            <w:vAlign w:val="center"/>
          </w:tcPr>
          <w:p w14:paraId="5D9AA191" w14:textId="77777777" w:rsidR="00763DF2" w:rsidRDefault="00000000">
            <w:pPr>
              <w:spacing w:after="0" w:line="24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Pertumbuhan PDB(%)</w:t>
            </w:r>
          </w:p>
        </w:tc>
        <w:tc>
          <w:tcPr>
            <w:tcW w:w="2448" w:type="dxa"/>
            <w:shd w:val="clear" w:color="auto" w:fill="BFBFBF"/>
            <w:vAlign w:val="center"/>
          </w:tcPr>
          <w:p w14:paraId="103528F8" w14:textId="77777777" w:rsidR="00763DF2" w:rsidRDefault="00000000">
            <w:pPr>
              <w:spacing w:after="0" w:line="24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Keterangan</w:t>
            </w:r>
          </w:p>
        </w:tc>
      </w:tr>
      <w:tr w:rsidR="00763DF2" w14:paraId="4819E9EC" w14:textId="77777777">
        <w:trPr>
          <w:trHeight w:val="273"/>
          <w:jc w:val="center"/>
        </w:trPr>
        <w:tc>
          <w:tcPr>
            <w:tcW w:w="686" w:type="dxa"/>
            <w:vAlign w:val="center"/>
          </w:tcPr>
          <w:p w14:paraId="3701394B" w14:textId="77777777" w:rsidR="00763DF2"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2018</w:t>
            </w:r>
          </w:p>
        </w:tc>
        <w:tc>
          <w:tcPr>
            <w:tcW w:w="1197" w:type="dxa"/>
            <w:vAlign w:val="center"/>
          </w:tcPr>
          <w:p w14:paraId="44FFC2A5" w14:textId="77777777" w:rsidR="00763DF2"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5,2 %</w:t>
            </w:r>
          </w:p>
        </w:tc>
        <w:tc>
          <w:tcPr>
            <w:tcW w:w="2448" w:type="dxa"/>
            <w:vAlign w:val="center"/>
          </w:tcPr>
          <w:p w14:paraId="22DB09F6" w14:textId="77777777" w:rsidR="00763DF2" w:rsidRDefault="00000000">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Kondisi ekonomi stabil</w:t>
            </w:r>
          </w:p>
        </w:tc>
      </w:tr>
      <w:tr w:rsidR="00763DF2" w14:paraId="39D742EF" w14:textId="77777777">
        <w:trPr>
          <w:trHeight w:val="255"/>
          <w:jc w:val="center"/>
        </w:trPr>
        <w:tc>
          <w:tcPr>
            <w:tcW w:w="686" w:type="dxa"/>
            <w:vAlign w:val="center"/>
          </w:tcPr>
          <w:p w14:paraId="252FEE7C" w14:textId="77777777" w:rsidR="00763DF2"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2019</w:t>
            </w:r>
          </w:p>
        </w:tc>
        <w:tc>
          <w:tcPr>
            <w:tcW w:w="1197" w:type="dxa"/>
            <w:vAlign w:val="center"/>
          </w:tcPr>
          <w:p w14:paraId="3ADCC62A" w14:textId="77777777" w:rsidR="00763DF2"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w:t>
            </w:r>
          </w:p>
        </w:tc>
        <w:tc>
          <w:tcPr>
            <w:tcW w:w="2448" w:type="dxa"/>
            <w:vAlign w:val="center"/>
          </w:tcPr>
          <w:p w14:paraId="42AB1F29" w14:textId="77777777" w:rsidR="00763DF2" w:rsidRDefault="00000000">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Pertumbuhan masih positif</w:t>
            </w:r>
          </w:p>
        </w:tc>
      </w:tr>
      <w:tr w:rsidR="00763DF2" w14:paraId="14111317" w14:textId="77777777">
        <w:trPr>
          <w:trHeight w:val="511"/>
          <w:jc w:val="center"/>
        </w:trPr>
        <w:tc>
          <w:tcPr>
            <w:tcW w:w="686" w:type="dxa"/>
            <w:vAlign w:val="center"/>
          </w:tcPr>
          <w:p w14:paraId="122F98E7" w14:textId="77777777" w:rsidR="00763DF2"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2020</w:t>
            </w:r>
          </w:p>
        </w:tc>
        <w:tc>
          <w:tcPr>
            <w:tcW w:w="1197" w:type="dxa"/>
            <w:vAlign w:val="center"/>
          </w:tcPr>
          <w:p w14:paraId="470993BC" w14:textId="77777777" w:rsidR="00763DF2"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-2,1 %</w:t>
            </w:r>
          </w:p>
        </w:tc>
        <w:tc>
          <w:tcPr>
            <w:tcW w:w="2448" w:type="dxa"/>
            <w:vAlign w:val="center"/>
          </w:tcPr>
          <w:p w14:paraId="55756784" w14:textId="77777777" w:rsidR="00763DF2" w:rsidRDefault="00000000">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Ekonomi menurun drastis saat pandemi COVID-19</w:t>
            </w:r>
          </w:p>
        </w:tc>
      </w:tr>
      <w:tr w:rsidR="00763DF2" w14:paraId="120EF84C" w14:textId="77777777">
        <w:trPr>
          <w:trHeight w:val="528"/>
          <w:jc w:val="center"/>
        </w:trPr>
        <w:tc>
          <w:tcPr>
            <w:tcW w:w="686" w:type="dxa"/>
            <w:vAlign w:val="center"/>
          </w:tcPr>
          <w:p w14:paraId="6E160E8D" w14:textId="77777777" w:rsidR="00763DF2"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2021</w:t>
            </w:r>
          </w:p>
        </w:tc>
        <w:tc>
          <w:tcPr>
            <w:tcW w:w="1197" w:type="dxa"/>
            <w:vAlign w:val="center"/>
          </w:tcPr>
          <w:p w14:paraId="5F393613" w14:textId="77777777" w:rsidR="00763DF2"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3,7 %</w:t>
            </w:r>
          </w:p>
        </w:tc>
        <w:tc>
          <w:tcPr>
            <w:tcW w:w="2448" w:type="dxa"/>
            <w:vAlign w:val="center"/>
          </w:tcPr>
          <w:p w14:paraId="30DC64AC" w14:textId="77777777" w:rsidR="00763DF2" w:rsidRDefault="00000000">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Mulai pulih setelah pelonggaran aktivitas ekonomi</w:t>
            </w:r>
          </w:p>
        </w:tc>
      </w:tr>
      <w:tr w:rsidR="00763DF2" w14:paraId="3E03C204" w14:textId="77777777">
        <w:trPr>
          <w:trHeight w:val="255"/>
          <w:jc w:val="center"/>
        </w:trPr>
        <w:tc>
          <w:tcPr>
            <w:tcW w:w="686" w:type="dxa"/>
            <w:vAlign w:val="center"/>
          </w:tcPr>
          <w:p w14:paraId="63583EF8" w14:textId="77777777" w:rsidR="00763DF2"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2022</w:t>
            </w:r>
          </w:p>
        </w:tc>
        <w:tc>
          <w:tcPr>
            <w:tcW w:w="1197" w:type="dxa"/>
            <w:vAlign w:val="center"/>
          </w:tcPr>
          <w:p w14:paraId="4B74953F" w14:textId="77777777" w:rsidR="00763DF2"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5,3 %</w:t>
            </w:r>
          </w:p>
        </w:tc>
        <w:tc>
          <w:tcPr>
            <w:tcW w:w="2448" w:type="dxa"/>
            <w:vAlign w:val="center"/>
          </w:tcPr>
          <w:p w14:paraId="528E73F8" w14:textId="77777777" w:rsidR="00763DF2" w:rsidRDefault="00000000">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Kondisi ekonomi mulai stabil</w:t>
            </w:r>
          </w:p>
        </w:tc>
      </w:tr>
      <w:tr w:rsidR="00763DF2" w14:paraId="70AF07E8" w14:textId="77777777">
        <w:trPr>
          <w:trHeight w:val="255"/>
          <w:jc w:val="center"/>
        </w:trPr>
        <w:tc>
          <w:tcPr>
            <w:tcW w:w="686" w:type="dxa"/>
            <w:vAlign w:val="center"/>
          </w:tcPr>
          <w:p w14:paraId="3136F3E3" w14:textId="77777777" w:rsidR="00763DF2"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2023</w:t>
            </w:r>
          </w:p>
        </w:tc>
        <w:tc>
          <w:tcPr>
            <w:tcW w:w="1197" w:type="dxa"/>
            <w:vAlign w:val="center"/>
          </w:tcPr>
          <w:p w14:paraId="24371C8A" w14:textId="77777777" w:rsidR="00763DF2"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5,1 %</w:t>
            </w:r>
          </w:p>
        </w:tc>
        <w:tc>
          <w:tcPr>
            <w:tcW w:w="2448" w:type="dxa"/>
            <w:vAlign w:val="center"/>
          </w:tcPr>
          <w:p w14:paraId="714EA223" w14:textId="77777777" w:rsidR="00763DF2" w:rsidRDefault="00000000">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Pertumbuhan masih positif</w:t>
            </w:r>
          </w:p>
        </w:tc>
      </w:tr>
    </w:tbl>
    <w:p w14:paraId="05CF3E67" w14:textId="77777777" w:rsidR="00763DF2" w:rsidRDefault="00000000">
      <w:pPr>
        <w:rPr>
          <w:sz w:val="16"/>
          <w:szCs w:val="16"/>
        </w:rPr>
      </w:pPr>
      <w:r>
        <w:rPr>
          <w:sz w:val="16"/>
          <w:szCs w:val="16"/>
        </w:rPr>
        <w:t xml:space="preserve">                                                                Sumber: Badan Pusat Statistik, 2024.</w:t>
      </w:r>
    </w:p>
    <w:p w14:paraId="7A99B747" w14:textId="77777777" w:rsidR="00763DF2" w:rsidRDefault="00000000">
      <w:pPr>
        <w:rPr>
          <w:sz w:val="16"/>
          <w:szCs w:val="16"/>
        </w:rPr>
      </w:pPr>
      <w:r>
        <w:rPr>
          <w:sz w:val="16"/>
          <w:szCs w:val="16"/>
        </w:rPr>
        <w:t xml:space="preserve">                                                                      </w:t>
      </w:r>
    </w:p>
    <w:p w14:paraId="76191208" w14:textId="77777777" w:rsidR="00763DF2" w:rsidRDefault="00763DF2">
      <w:pPr>
        <w:rPr>
          <w:sz w:val="16"/>
          <w:szCs w:val="16"/>
        </w:rPr>
      </w:pPr>
    </w:p>
    <w:p w14:paraId="3AD5A4D5" w14:textId="77777777" w:rsidR="00763DF2" w:rsidRDefault="00000000">
      <w:pPr>
        <w:jc w:val="center"/>
        <w:rPr>
          <w:b/>
          <w:bCs/>
          <w:sz w:val="24"/>
          <w:szCs w:val="24"/>
        </w:rPr>
      </w:pPr>
      <w:r>
        <w:rPr>
          <w:noProof/>
        </w:rPr>
        <w:lastRenderedPageBreak/>
        <w:drawing>
          <wp:inline distT="0" distB="0" distL="0" distR="0" wp14:anchorId="6F608736" wp14:editId="65301BED">
            <wp:extent cx="2800350" cy="1600200"/>
            <wp:effectExtent l="0" t="0" r="0" b="0"/>
            <wp:docPr id="2129091371" name="Chart 212909137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12156D2" w14:textId="77777777" w:rsidR="00763DF2" w:rsidRDefault="00763DF2">
      <w:pPr>
        <w:jc w:val="center"/>
        <w:rPr>
          <w:sz w:val="20"/>
          <w:szCs w:val="20"/>
        </w:rPr>
      </w:pPr>
    </w:p>
    <w:p w14:paraId="670C8F27" w14:textId="77777777" w:rsidR="00763DF2" w:rsidRDefault="00000000">
      <w:pPr>
        <w:jc w:val="center"/>
        <w:rPr>
          <w:sz w:val="24"/>
          <w:szCs w:val="24"/>
        </w:rPr>
      </w:pPr>
      <w:r>
        <w:rPr>
          <w:b/>
          <w:bCs/>
          <w:sz w:val="24"/>
          <w:szCs w:val="24"/>
        </w:rPr>
        <w:t>Grafik 1.</w:t>
      </w:r>
      <w:r>
        <w:rPr>
          <w:sz w:val="24"/>
          <w:szCs w:val="24"/>
        </w:rPr>
        <w:t xml:space="preserve"> </w:t>
      </w:r>
      <w:r>
        <w:rPr>
          <w:b/>
          <w:bCs/>
          <w:sz w:val="24"/>
          <w:szCs w:val="24"/>
        </w:rPr>
        <w:t>Kinerja Realisasi Penerimaan Pajak Neto, 2018—2023</w:t>
      </w:r>
      <w:r>
        <w:rPr>
          <w:b/>
          <w:bCs/>
          <w:sz w:val="24"/>
          <w:szCs w:val="24"/>
        </w:rPr>
        <w:br/>
      </w:r>
      <w:r>
        <w:rPr>
          <w:b/>
          <w:bCs/>
          <w:sz w:val="16"/>
          <w:szCs w:val="16"/>
        </w:rPr>
        <w:t xml:space="preserve">        </w:t>
      </w:r>
      <w:r>
        <w:rPr>
          <w:b/>
          <w:bCs/>
          <w:sz w:val="24"/>
          <w:szCs w:val="24"/>
        </w:rPr>
        <w:t>(dalam triliun rupiah)</w:t>
      </w:r>
    </w:p>
    <w:p w14:paraId="67DCB557" w14:textId="77777777" w:rsidR="00763DF2" w:rsidRDefault="00000000">
      <w:pPr>
        <w:rPr>
          <w:sz w:val="16"/>
          <w:szCs w:val="16"/>
        </w:rPr>
      </w:pPr>
      <w:r>
        <w:rPr>
          <w:sz w:val="16"/>
          <w:szCs w:val="16"/>
        </w:rPr>
        <w:t xml:space="preserve">Sumber: </w:t>
      </w:r>
    </w:p>
    <w:p w14:paraId="1925B335" w14:textId="77777777" w:rsidR="00763DF2" w:rsidRDefault="00000000">
      <w:pPr>
        <w:widowControl/>
        <w:numPr>
          <w:ilvl w:val="0"/>
          <w:numId w:val="1"/>
        </w:numPr>
        <w:pBdr>
          <w:top w:val="nil"/>
          <w:left w:val="nil"/>
          <w:bottom w:val="nil"/>
          <w:right w:val="nil"/>
          <w:between w:val="nil"/>
        </w:pBdr>
        <w:ind w:left="426" w:hanging="20"/>
        <w:rPr>
          <w:sz w:val="24"/>
          <w:szCs w:val="24"/>
        </w:rPr>
      </w:pPr>
      <w:r>
        <w:rPr>
          <w:color w:val="000000"/>
          <w:sz w:val="16"/>
          <w:szCs w:val="16"/>
        </w:rPr>
        <w:t>Laporan Keuangan DJP 2019—2023 (</w:t>
      </w:r>
      <w:r>
        <w:rPr>
          <w:i/>
          <w:iCs/>
          <w:color w:val="000000"/>
          <w:sz w:val="16"/>
          <w:szCs w:val="16"/>
        </w:rPr>
        <w:t>Audited</w:t>
      </w:r>
      <w:r>
        <w:rPr>
          <w:color w:val="000000"/>
          <w:sz w:val="16"/>
          <w:szCs w:val="16"/>
        </w:rPr>
        <w:t>).</w:t>
      </w:r>
    </w:p>
    <w:p w14:paraId="5658C19C" w14:textId="77777777" w:rsidR="00763DF2" w:rsidRDefault="00000000">
      <w:pPr>
        <w:widowControl/>
        <w:numPr>
          <w:ilvl w:val="0"/>
          <w:numId w:val="1"/>
        </w:numPr>
        <w:pBdr>
          <w:top w:val="nil"/>
          <w:left w:val="nil"/>
          <w:bottom w:val="nil"/>
          <w:right w:val="nil"/>
          <w:between w:val="nil"/>
        </w:pBdr>
        <w:ind w:left="426" w:hanging="20"/>
        <w:rPr>
          <w:sz w:val="24"/>
          <w:szCs w:val="24"/>
        </w:rPr>
      </w:pPr>
      <w:r>
        <w:rPr>
          <w:color w:val="000000"/>
          <w:sz w:val="16"/>
          <w:szCs w:val="16"/>
        </w:rPr>
        <w:t>Laporan Keuangan DJP 2018—2022 (</w:t>
      </w:r>
      <w:r>
        <w:rPr>
          <w:i/>
          <w:iCs/>
          <w:color w:val="000000"/>
          <w:sz w:val="16"/>
          <w:szCs w:val="16"/>
        </w:rPr>
        <w:t>Audited</w:t>
      </w:r>
      <w:r>
        <w:rPr>
          <w:color w:val="000000"/>
          <w:sz w:val="16"/>
          <w:szCs w:val="16"/>
        </w:rPr>
        <w:t>).</w:t>
      </w:r>
    </w:p>
    <w:p w14:paraId="260850D8" w14:textId="77777777" w:rsidR="00763DF2" w:rsidRDefault="00763DF2">
      <w:pPr>
        <w:widowControl/>
        <w:pBdr>
          <w:top w:val="nil"/>
          <w:left w:val="nil"/>
          <w:bottom w:val="nil"/>
          <w:right w:val="nil"/>
          <w:between w:val="nil"/>
        </w:pBdr>
        <w:rPr>
          <w:sz w:val="24"/>
          <w:szCs w:val="24"/>
        </w:rPr>
      </w:pPr>
    </w:p>
    <w:p w14:paraId="281239C6" w14:textId="77777777" w:rsidR="00763DF2" w:rsidRDefault="00000000">
      <w:pPr>
        <w:pStyle w:val="Heading1"/>
        <w:tabs>
          <w:tab w:val="left" w:pos="305"/>
        </w:tabs>
        <w:ind w:hanging="20"/>
        <w:rPr>
          <w:sz w:val="24"/>
          <w:szCs w:val="24"/>
        </w:rPr>
      </w:pPr>
      <w:r>
        <w:rPr>
          <w:sz w:val="24"/>
          <w:szCs w:val="24"/>
        </w:rPr>
        <w:t>LANDASAN TEORITIS</w:t>
      </w:r>
    </w:p>
    <w:p w14:paraId="5E3F2975" w14:textId="77777777" w:rsidR="00763DF2" w:rsidRDefault="00000000">
      <w:pPr>
        <w:pBdr>
          <w:top w:val="nil"/>
          <w:left w:val="nil"/>
          <w:bottom w:val="nil"/>
          <w:right w:val="nil"/>
          <w:between w:val="nil"/>
        </w:pBdr>
        <w:spacing w:before="30"/>
        <w:ind w:left="105" w:right="25" w:firstLine="568"/>
        <w:jc w:val="both"/>
        <w:rPr>
          <w:color w:val="000000"/>
          <w:sz w:val="24"/>
          <w:szCs w:val="24"/>
        </w:rPr>
      </w:pPr>
      <w:r>
        <w:rPr>
          <w:color w:val="000000"/>
          <w:sz w:val="24"/>
          <w:szCs w:val="24"/>
        </w:rPr>
        <w:t>Analisis kinerja keuangan PT. Astra International Tbk sebelum dan sesudah pandemi covid-19 dihitung menggunakan 3 (tiga) rasio keuangan sebagai berikut:</w:t>
      </w:r>
    </w:p>
    <w:p w14:paraId="3826671D" w14:textId="77777777" w:rsidR="00763DF2" w:rsidRDefault="00000000">
      <w:pPr>
        <w:numPr>
          <w:ilvl w:val="0"/>
          <w:numId w:val="4"/>
        </w:numPr>
        <w:pBdr>
          <w:top w:val="nil"/>
          <w:left w:val="nil"/>
          <w:bottom w:val="nil"/>
          <w:right w:val="nil"/>
          <w:between w:val="nil"/>
        </w:pBdr>
        <w:ind w:right="25"/>
        <w:jc w:val="both"/>
        <w:rPr>
          <w:color w:val="000000"/>
          <w:sz w:val="24"/>
          <w:szCs w:val="24"/>
        </w:rPr>
      </w:pPr>
      <w:r>
        <w:rPr>
          <w:color w:val="000000"/>
          <w:sz w:val="24"/>
          <w:szCs w:val="24"/>
        </w:rPr>
        <w:t>Rasio Likuiditas</w:t>
      </w:r>
    </w:p>
    <w:p w14:paraId="344E95CF" w14:textId="77777777" w:rsidR="00763DF2" w:rsidRDefault="00000000">
      <w:pPr>
        <w:pBdr>
          <w:top w:val="nil"/>
          <w:left w:val="nil"/>
          <w:bottom w:val="nil"/>
          <w:right w:val="nil"/>
          <w:between w:val="nil"/>
        </w:pBdr>
        <w:ind w:left="105" w:right="25" w:firstLine="568"/>
        <w:jc w:val="both"/>
        <w:rPr>
          <w:color w:val="000000"/>
          <w:sz w:val="24"/>
          <w:szCs w:val="24"/>
        </w:rPr>
      </w:pPr>
      <w:r>
        <w:rPr>
          <w:color w:val="000000"/>
          <w:sz w:val="24"/>
          <w:szCs w:val="24"/>
        </w:rPr>
        <w:t xml:space="preserve">Menurut Kasmir (2019), rasio likuiditas menggambarkan kemampuan perusahaan dalam memenuhi kewajiban jangka pendeknya menggunakan aset lancar yang dimiliki. Rasio yang umum digunakan untuk mengukur likuiditas adalah </w:t>
      </w:r>
      <w:r>
        <w:rPr>
          <w:i/>
          <w:iCs/>
          <w:color w:val="000000"/>
          <w:sz w:val="24"/>
          <w:szCs w:val="24"/>
        </w:rPr>
        <w:t>Current Ratio (CR).</w:t>
      </w:r>
      <w:r>
        <w:rPr>
          <w:color w:val="000000"/>
          <w:sz w:val="24"/>
          <w:szCs w:val="24"/>
        </w:rPr>
        <w:t xml:space="preserve"> Nilai idealnya adalah 2:1 yang menunjukkan bahwa setiap Rp1 utang lancar dijamin oleh Rp2 aset lancar. Terlalu tinggi dapat menandakan aset tidak produktif.</w:t>
      </w:r>
    </w:p>
    <w:p w14:paraId="45D5EA9C" w14:textId="77777777" w:rsidR="00763DF2" w:rsidRDefault="00000000">
      <w:pPr>
        <w:pBdr>
          <w:top w:val="nil"/>
          <w:left w:val="nil"/>
          <w:bottom w:val="nil"/>
          <w:right w:val="nil"/>
          <w:between w:val="nil"/>
        </w:pBdr>
        <w:spacing w:before="30" w:line="276" w:lineRule="auto"/>
        <w:ind w:left="105" w:right="25" w:firstLine="36"/>
        <w:jc w:val="both"/>
        <w:rPr>
          <w:color w:val="000000"/>
          <w:sz w:val="24"/>
          <w:szCs w:val="24"/>
        </w:rPr>
      </w:pPr>
      <w:r>
        <w:rPr>
          <w:color w:val="000000"/>
          <w:sz w:val="24"/>
          <w:szCs w:val="24"/>
        </w:rPr>
        <w:t>Rumus rasio likuiditas:</w:t>
      </w:r>
      <w:r>
        <w:rPr>
          <w:noProof/>
        </w:rPr>
        <mc:AlternateContent>
          <mc:Choice Requires="wps">
            <w:drawing>
              <wp:anchor distT="0" distB="0" distL="0" distR="0" simplePos="0" relativeHeight="251661312" behindDoc="1" locked="0" layoutInCell="1" hidden="0" allowOverlap="1" wp14:anchorId="01AC2FF0" wp14:editId="45B7BFB0">
                <wp:simplePos x="0" y="0"/>
                <wp:positionH relativeFrom="column">
                  <wp:posOffset>1763395</wp:posOffset>
                </wp:positionH>
                <wp:positionV relativeFrom="paragraph">
                  <wp:posOffset>89535</wp:posOffset>
                </wp:positionV>
                <wp:extent cx="2664460" cy="629920"/>
                <wp:effectExtent l="0" t="0" r="0" b="0"/>
                <wp:wrapNone/>
                <wp:docPr id="2129091374" name="Rectangle 2129091374"/>
                <wp:cNvGraphicFramePr/>
                <a:graphic xmlns:a="http://schemas.openxmlformats.org/drawingml/2006/main">
                  <a:graphicData uri="http://schemas.microsoft.com/office/word/2010/wordprocessingShape">
                    <wps:wsp>
                      <wps:cNvSpPr/>
                      <wps:spPr>
                        <a:xfrm>
                          <a:off x="4039170" y="3490440"/>
                          <a:ext cx="2613660" cy="579120"/>
                        </a:xfrm>
                        <a:prstGeom prst="rect">
                          <a:avLst/>
                        </a:prstGeom>
                        <a:solidFill>
                          <a:schemeClr val="lt1"/>
                        </a:solidFill>
                        <a:ln w="25400" cap="flat" cmpd="sng">
                          <a:solidFill>
                            <a:schemeClr val="dk1"/>
                          </a:solidFill>
                          <a:prstDash val="solid"/>
                          <a:round/>
                          <a:headEnd type="none" w="sm" len="sm"/>
                          <a:tailEnd type="none" w="sm" len="sm"/>
                        </a:ln>
                      </wps:spPr>
                      <wps:txbx>
                        <w:txbxContent>
                          <w:p w14:paraId="0949F52C" w14:textId="77777777" w:rsidR="00763DF2" w:rsidRDefault="00763DF2">
                            <w:pPr>
                              <w:textDirection w:val="btLr"/>
                            </w:pPr>
                          </w:p>
                        </w:txbxContent>
                      </wps:txbx>
                      <wps:bodyPr spcFirstLastPara="1" wrap="square" lIns="91425" tIns="91425" rIns="91425" bIns="91425" anchor="ctr" anchorCtr="0">
                        <a:noAutofit/>
                      </wps:bodyPr>
                    </wps:wsp>
                  </a:graphicData>
                </a:graphic>
              </wp:anchor>
            </w:drawing>
          </mc:Choice>
          <mc:Fallback>
            <w:pict>
              <v:rect w14:anchorId="01AC2FF0" id="Rectangle 2129091374" o:spid="_x0000_s1035" style="position:absolute;left:0;text-align:left;margin-left:138.85pt;margin-top:7.05pt;width:209.8pt;height:49.6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" fillcolor="white [3201]" strokecolor="black [3200]" strokeweight="2pt">
                <v:stroke startarrowwidth="narrow" startarrowlength="short" endarrowwidth="narrow" endarrowlength="short" joinstyle="round"/>
                <v:textbox inset="2.53958mm,2.53958mm,2.53958mm,2.53958mm">
                  <w:txbxContent>
                    <w:p w14:paraId="0949F52C" w14:textId="77777777" w:rsidR="00763DF2" w:rsidRDefault="00763DF2">
                      <w:pPr>
                        <w:textDirection w:val="btLr"/>
                      </w:pPr>
                    </w:p>
                  </w:txbxContent>
                </v:textbox>
              </v:rect>
            </w:pict>
          </mc:Fallback>
        </mc:AlternateContent>
      </w:r>
    </w:p>
    <w:p w14:paraId="3A96364B" w14:textId="77777777" w:rsidR="00763DF2" w:rsidRDefault="00000000">
      <w:pPr>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Current Ratio=</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Aset Lancar</m:t>
              </m:r>
            </m:num>
            <m:den>
              <m:r>
                <w:rPr>
                  <w:rFonts w:ascii="Cambria Math" w:eastAsia="Cambria Math" w:hAnsi="Cambria Math" w:cs="Cambria Math"/>
                  <w:color w:val="000000"/>
                  <w:sz w:val="24"/>
                  <w:szCs w:val="24"/>
                </w:rPr>
                <m:t>Liabitas Lancar</m:t>
              </m:r>
            </m:den>
          </m:f>
        </m:oMath>
      </m:oMathPara>
    </w:p>
    <w:p w14:paraId="2FADA9FF" w14:textId="77777777" w:rsidR="00763DF2" w:rsidRDefault="00000000">
      <w:pPr>
        <w:numPr>
          <w:ilvl w:val="0"/>
          <w:numId w:val="4"/>
        </w:numPr>
        <w:pBdr>
          <w:top w:val="nil"/>
          <w:left w:val="nil"/>
          <w:bottom w:val="nil"/>
          <w:right w:val="nil"/>
          <w:between w:val="nil"/>
        </w:pBdr>
        <w:ind w:right="29"/>
        <w:jc w:val="both"/>
        <w:rPr>
          <w:color w:val="000000"/>
          <w:sz w:val="24"/>
          <w:szCs w:val="24"/>
        </w:rPr>
      </w:pPr>
      <w:r>
        <w:rPr>
          <w:color w:val="000000"/>
          <w:sz w:val="24"/>
          <w:szCs w:val="24"/>
        </w:rPr>
        <w:t>Rasio Solvabilitas</w:t>
      </w:r>
    </w:p>
    <w:p w14:paraId="345F71CE" w14:textId="77777777" w:rsidR="00763DF2" w:rsidRDefault="00000000">
      <w:pPr>
        <w:pBdr>
          <w:top w:val="nil"/>
          <w:left w:val="nil"/>
          <w:bottom w:val="nil"/>
          <w:right w:val="nil"/>
          <w:between w:val="nil"/>
        </w:pBdr>
        <w:ind w:left="105" w:right="29" w:firstLine="568"/>
        <w:jc w:val="both"/>
        <w:rPr>
          <w:color w:val="000000"/>
          <w:sz w:val="24"/>
          <w:szCs w:val="24"/>
        </w:rPr>
      </w:pPr>
      <w:r>
        <w:rPr>
          <w:color w:val="000000"/>
          <w:sz w:val="24"/>
          <w:szCs w:val="24"/>
        </w:rPr>
        <w:t xml:space="preserve">Menurut Kasmir (2019), rasio solvabilitas merupakan rasio yang digunakan untuk mengukur sejauh mana aktiva perusahaan dibiayai dengan utang. Rasio yang digunakan dalam penelitian ini adalah </w:t>
      </w:r>
      <w:r>
        <w:rPr>
          <w:i/>
          <w:iCs/>
          <w:color w:val="000000"/>
          <w:sz w:val="24"/>
          <w:szCs w:val="24"/>
        </w:rPr>
        <w:t xml:space="preserve">Debt to Asset Ratio (DAR). </w:t>
      </w:r>
      <w:sdt>
        <w:sdtPr>
          <w:tag w:val="goog_rdk_0"/>
          <w:id w:val="1844813419"/>
        </w:sdtPr>
        <w:sdtContent>
          <w:r>
            <w:rPr>
              <w:rFonts w:ascii="Gungsuh" w:eastAsia="Gungsuh" w:hAnsi="Gungsuh" w:cs="Gungsuh"/>
              <w:color w:val="000000"/>
              <w:sz w:val="24"/>
              <w:szCs w:val="24"/>
            </w:rPr>
            <w:t>Nilai idealnya adalah ≤60% semakin kecil rasio, semakin aman karena aset lebih banyak dibiayai modal sendiri.</w:t>
          </w:r>
        </w:sdtContent>
      </w:sdt>
    </w:p>
    <w:p w14:paraId="4C9DC154" w14:textId="77777777" w:rsidR="00763DF2" w:rsidRDefault="00000000">
      <w:pPr>
        <w:pBdr>
          <w:top w:val="nil"/>
          <w:left w:val="nil"/>
          <w:bottom w:val="nil"/>
          <w:right w:val="nil"/>
          <w:between w:val="nil"/>
        </w:pBdr>
        <w:spacing w:before="30" w:line="276" w:lineRule="auto"/>
        <w:ind w:left="105" w:right="25" w:firstLine="36"/>
        <w:jc w:val="both"/>
        <w:rPr>
          <w:color w:val="000000"/>
          <w:sz w:val="24"/>
          <w:szCs w:val="24"/>
        </w:rPr>
      </w:pPr>
      <w:r>
        <w:rPr>
          <w:color w:val="000000"/>
          <w:sz w:val="24"/>
          <w:szCs w:val="24"/>
        </w:rPr>
        <w:t>Rumus rasio solvabilitas:</w:t>
      </w:r>
      <w:r>
        <w:rPr>
          <w:noProof/>
        </w:rPr>
        <mc:AlternateContent>
          <mc:Choice Requires="wps">
            <w:drawing>
              <wp:anchor distT="0" distB="0" distL="0" distR="0" simplePos="0" relativeHeight="251662336" behindDoc="1" locked="0" layoutInCell="1" hidden="0" allowOverlap="1" wp14:anchorId="354190F1" wp14:editId="2F623B67">
                <wp:simplePos x="0" y="0"/>
                <wp:positionH relativeFrom="column">
                  <wp:posOffset>1801495</wp:posOffset>
                </wp:positionH>
                <wp:positionV relativeFrom="paragraph">
                  <wp:posOffset>133350</wp:posOffset>
                </wp:positionV>
                <wp:extent cx="2321560" cy="599440"/>
                <wp:effectExtent l="0" t="0" r="0" b="0"/>
                <wp:wrapNone/>
                <wp:docPr id="2129091377" name="Rectangle 2129091377"/>
                <wp:cNvGraphicFramePr/>
                <a:graphic xmlns:a="http://schemas.openxmlformats.org/drawingml/2006/main">
                  <a:graphicData uri="http://schemas.microsoft.com/office/word/2010/wordprocessingShape">
                    <wps:wsp>
                      <wps:cNvSpPr/>
                      <wps:spPr>
                        <a:xfrm>
                          <a:off x="4210620" y="3505680"/>
                          <a:ext cx="2270760" cy="548640"/>
                        </a:xfrm>
                        <a:prstGeom prst="rect">
                          <a:avLst/>
                        </a:prstGeom>
                        <a:solidFill>
                          <a:schemeClr val="lt1"/>
                        </a:solidFill>
                        <a:ln w="25400" cap="flat" cmpd="sng">
                          <a:solidFill>
                            <a:schemeClr val="dk1"/>
                          </a:solidFill>
                          <a:prstDash val="solid"/>
                          <a:round/>
                          <a:headEnd type="none" w="sm" len="sm"/>
                          <a:tailEnd type="none" w="sm" len="sm"/>
                        </a:ln>
                      </wps:spPr>
                      <wps:txbx>
                        <w:txbxContent>
                          <w:p w14:paraId="7E940F43" w14:textId="77777777" w:rsidR="00763DF2" w:rsidRDefault="00763DF2">
                            <w:pPr>
                              <w:textDirection w:val="btLr"/>
                            </w:pPr>
                          </w:p>
                        </w:txbxContent>
                      </wps:txbx>
                      <wps:bodyPr spcFirstLastPara="1" wrap="square" lIns="91425" tIns="91425" rIns="91425" bIns="91425" anchor="ctr" anchorCtr="0">
                        <a:noAutofit/>
                      </wps:bodyPr>
                    </wps:wsp>
                  </a:graphicData>
                </a:graphic>
              </wp:anchor>
            </w:drawing>
          </mc:Choice>
          <mc:Fallback>
            <w:pict>
              <v:rect w14:anchorId="354190F1" id="Rectangle 2129091377" o:spid="_x0000_s1036" style="position:absolute;left:0;text-align:left;margin-left:141.85pt;margin-top:10.5pt;width:182.8pt;height:47.2pt;z-index:-2516541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" fillcolor="white [3201]" strokecolor="black [3200]" strokeweight="2pt">
                <v:stroke startarrowwidth="narrow" startarrowlength="short" endarrowwidth="narrow" endarrowlength="short" joinstyle="round"/>
                <v:textbox inset="2.53958mm,2.53958mm,2.53958mm,2.53958mm">
                  <w:txbxContent>
                    <w:p w14:paraId="7E940F43" w14:textId="77777777" w:rsidR="00763DF2" w:rsidRDefault="00763DF2">
                      <w:pPr>
                        <w:textDirection w:val="btLr"/>
                      </w:pPr>
                    </w:p>
                  </w:txbxContent>
                </v:textbox>
              </v:rect>
            </w:pict>
          </mc:Fallback>
        </mc:AlternateContent>
      </w:r>
    </w:p>
    <w:p w14:paraId="5B0E9705" w14:textId="77777777" w:rsidR="00763DF2" w:rsidRDefault="00000000">
      <w:pPr>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DAR=</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Total Utang</m:t>
              </m:r>
            </m:num>
            <m:den>
              <m:r>
                <w:rPr>
                  <w:rFonts w:ascii="Cambria Math" w:eastAsia="Cambria Math" w:hAnsi="Cambria Math" w:cs="Cambria Math"/>
                  <w:color w:val="000000"/>
                  <w:sz w:val="24"/>
                  <w:szCs w:val="24"/>
                </w:rPr>
                <m:t>Total Aset</m:t>
              </m:r>
            </m:den>
          </m:f>
          <m:r>
            <w:rPr>
              <w:rFonts w:ascii="Cambria Math" w:eastAsia="Cambria Math" w:hAnsi="Cambria Math" w:cs="Cambria Math"/>
              <w:color w:val="000000"/>
              <w:sz w:val="24"/>
              <w:szCs w:val="24"/>
            </w:rPr>
            <m:t xml:space="preserve"> x 100%</m:t>
          </m:r>
        </m:oMath>
      </m:oMathPara>
    </w:p>
    <w:p w14:paraId="59C47D0C" w14:textId="77777777" w:rsidR="00763DF2" w:rsidRDefault="00763DF2">
      <w:pPr>
        <w:pBdr>
          <w:top w:val="nil"/>
          <w:left w:val="nil"/>
          <w:bottom w:val="nil"/>
          <w:right w:val="nil"/>
          <w:between w:val="nil"/>
        </w:pBdr>
        <w:ind w:left="502" w:right="29"/>
        <w:jc w:val="both"/>
        <w:rPr>
          <w:color w:val="000000"/>
          <w:sz w:val="24"/>
          <w:szCs w:val="24"/>
        </w:rPr>
      </w:pPr>
    </w:p>
    <w:p w14:paraId="61FE1438" w14:textId="77777777" w:rsidR="00763DF2" w:rsidRDefault="00000000">
      <w:pPr>
        <w:numPr>
          <w:ilvl w:val="0"/>
          <w:numId w:val="4"/>
        </w:numPr>
        <w:pBdr>
          <w:top w:val="nil"/>
          <w:left w:val="nil"/>
          <w:bottom w:val="nil"/>
          <w:right w:val="nil"/>
          <w:between w:val="nil"/>
        </w:pBdr>
        <w:ind w:right="29"/>
        <w:jc w:val="both"/>
        <w:rPr>
          <w:color w:val="000000"/>
          <w:sz w:val="24"/>
          <w:szCs w:val="24"/>
        </w:rPr>
      </w:pPr>
      <w:r>
        <w:rPr>
          <w:color w:val="000000"/>
          <w:sz w:val="24"/>
          <w:szCs w:val="24"/>
        </w:rPr>
        <w:t>Rasio Profitabilitas</w:t>
      </w:r>
    </w:p>
    <w:p w14:paraId="6B5A8088" w14:textId="77777777" w:rsidR="00763DF2" w:rsidRDefault="00000000">
      <w:pPr>
        <w:pBdr>
          <w:top w:val="nil"/>
          <w:left w:val="nil"/>
          <w:bottom w:val="nil"/>
          <w:right w:val="nil"/>
          <w:between w:val="nil"/>
        </w:pBdr>
        <w:ind w:left="105" w:right="29" w:firstLine="568"/>
        <w:jc w:val="both"/>
        <w:rPr>
          <w:color w:val="000000"/>
          <w:sz w:val="24"/>
          <w:szCs w:val="24"/>
        </w:rPr>
      </w:pPr>
      <w:r>
        <w:rPr>
          <w:color w:val="000000"/>
          <w:sz w:val="24"/>
          <w:szCs w:val="24"/>
        </w:rPr>
        <w:t xml:space="preserve">Menurut Kasmir (2019), rasio profitabilitas merupakan rasio untuk menilai kemampuan perusahaan dalam mencari keuntungan. Rasio yang digunakan dalam penelitian ini adalah </w:t>
      </w:r>
      <w:r>
        <w:rPr>
          <w:i/>
          <w:iCs/>
          <w:color w:val="000000"/>
          <w:sz w:val="24"/>
          <w:szCs w:val="24"/>
        </w:rPr>
        <w:t xml:space="preserve">Return on Assets (ROA). </w:t>
      </w:r>
      <w:r>
        <w:rPr>
          <w:color w:val="000000"/>
          <w:sz w:val="24"/>
          <w:szCs w:val="24"/>
        </w:rPr>
        <w:t>Nilai idealnya adalah 5% semakin tinggi ROA berarti semakin efektif penggunaan aset.</w:t>
      </w:r>
    </w:p>
    <w:p w14:paraId="0A01D998" w14:textId="77777777" w:rsidR="00763DF2" w:rsidRDefault="00000000">
      <w:pPr>
        <w:pBdr>
          <w:top w:val="nil"/>
          <w:left w:val="nil"/>
          <w:bottom w:val="nil"/>
          <w:right w:val="nil"/>
          <w:between w:val="nil"/>
        </w:pBdr>
        <w:ind w:left="105" w:right="29" w:firstLine="36"/>
        <w:jc w:val="both"/>
        <w:rPr>
          <w:color w:val="000000"/>
          <w:sz w:val="24"/>
          <w:szCs w:val="24"/>
        </w:rPr>
      </w:pPr>
      <w:r>
        <w:rPr>
          <w:color w:val="000000"/>
          <w:sz w:val="24"/>
          <w:szCs w:val="24"/>
        </w:rPr>
        <w:t>Rumus rasio profitabilitas:</w:t>
      </w:r>
      <w:r>
        <w:rPr>
          <w:noProof/>
        </w:rPr>
        <mc:AlternateContent>
          <mc:Choice Requires="wps">
            <w:drawing>
              <wp:anchor distT="0" distB="0" distL="0" distR="0" simplePos="0" relativeHeight="251663360" behindDoc="1" locked="0" layoutInCell="1" hidden="0" allowOverlap="1" wp14:anchorId="668DADB1" wp14:editId="644D3FE2">
                <wp:simplePos x="0" y="0"/>
                <wp:positionH relativeFrom="column">
                  <wp:posOffset>1862455</wp:posOffset>
                </wp:positionH>
                <wp:positionV relativeFrom="paragraph">
                  <wp:posOffset>119380</wp:posOffset>
                </wp:positionV>
                <wp:extent cx="2260600" cy="645160"/>
                <wp:effectExtent l="0" t="0" r="0" b="0"/>
                <wp:wrapNone/>
                <wp:docPr id="2129091378" name="Rectangle 2129091378"/>
                <wp:cNvGraphicFramePr/>
                <a:graphic xmlns:a="http://schemas.openxmlformats.org/drawingml/2006/main">
                  <a:graphicData uri="http://schemas.microsoft.com/office/word/2010/wordprocessingShape">
                    <wps:wsp>
                      <wps:cNvSpPr/>
                      <wps:spPr>
                        <a:xfrm>
                          <a:off x="4241100" y="3482820"/>
                          <a:ext cx="2209800" cy="594360"/>
                        </a:xfrm>
                        <a:prstGeom prst="rect">
                          <a:avLst/>
                        </a:prstGeom>
                        <a:solidFill>
                          <a:schemeClr val="lt1"/>
                        </a:solidFill>
                        <a:ln w="25400" cap="flat" cmpd="sng">
                          <a:solidFill>
                            <a:schemeClr val="dk1"/>
                          </a:solidFill>
                          <a:prstDash val="solid"/>
                          <a:round/>
                          <a:headEnd type="none" w="sm" len="sm"/>
                          <a:tailEnd type="none" w="sm" len="sm"/>
                        </a:ln>
                      </wps:spPr>
                      <wps:txbx>
                        <w:txbxContent>
                          <w:p w14:paraId="3F3B1BA9" w14:textId="77777777" w:rsidR="00763DF2" w:rsidRDefault="00763DF2">
                            <w:pPr>
                              <w:textDirection w:val="btLr"/>
                            </w:pPr>
                          </w:p>
                        </w:txbxContent>
                      </wps:txbx>
                      <wps:bodyPr spcFirstLastPara="1" wrap="square" lIns="91425" tIns="91425" rIns="91425" bIns="91425" anchor="ctr" anchorCtr="0">
                        <a:noAutofit/>
                      </wps:bodyPr>
                    </wps:wsp>
                  </a:graphicData>
                </a:graphic>
              </wp:anchor>
            </w:drawing>
          </mc:Choice>
          <mc:Fallback>
            <w:pict>
              <v:rect w14:anchorId="668DADB1" id="Rectangle 2129091378" o:spid="_x0000_s1037" style="position:absolute;left:0;text-align:left;margin-left:146.65pt;margin-top:9.4pt;width:178pt;height:50.8pt;z-index:-2516531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" fillcolor="white [3201]" strokecolor="black [3200]" strokeweight="2pt">
                <v:stroke startarrowwidth="narrow" startarrowlength="short" endarrowwidth="narrow" endarrowlength="short" joinstyle="round"/>
                <v:textbox inset="2.53958mm,2.53958mm,2.53958mm,2.53958mm">
                  <w:txbxContent>
                    <w:p w14:paraId="3F3B1BA9" w14:textId="77777777" w:rsidR="00763DF2" w:rsidRDefault="00763DF2">
                      <w:pPr>
                        <w:textDirection w:val="btLr"/>
                      </w:pPr>
                    </w:p>
                  </w:txbxContent>
                </v:textbox>
              </v:rect>
            </w:pict>
          </mc:Fallback>
        </mc:AlternateContent>
      </w:r>
    </w:p>
    <w:p w14:paraId="04055D30" w14:textId="77777777" w:rsidR="00763DF2" w:rsidRDefault="00000000">
      <w:pPr>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ROA=</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Laba Bersih</m:t>
              </m:r>
            </m:num>
            <m:den>
              <m:r>
                <w:rPr>
                  <w:rFonts w:ascii="Cambria Math" w:eastAsia="Cambria Math" w:hAnsi="Cambria Math" w:cs="Cambria Math"/>
                  <w:color w:val="000000"/>
                  <w:sz w:val="24"/>
                  <w:szCs w:val="24"/>
                </w:rPr>
                <m:t>Total Aset</m:t>
              </m:r>
            </m:den>
          </m:f>
          <m:r>
            <w:rPr>
              <w:rFonts w:ascii="Cambria Math" w:eastAsia="Cambria Math" w:hAnsi="Cambria Math" w:cs="Cambria Math"/>
              <w:color w:val="000000"/>
              <w:sz w:val="24"/>
              <w:szCs w:val="24"/>
            </w:rPr>
            <m:t xml:space="preserve"> x 100%</m:t>
          </m:r>
        </m:oMath>
      </m:oMathPara>
    </w:p>
    <w:p w14:paraId="5CD49A0E" w14:textId="77777777" w:rsidR="00763DF2" w:rsidRDefault="00763DF2">
      <w:pPr>
        <w:spacing w:before="40" w:after="40"/>
        <w:ind w:right="225" w:firstLine="720"/>
        <w:jc w:val="both"/>
        <w:rPr>
          <w:color w:val="000000"/>
        </w:rPr>
      </w:pPr>
    </w:p>
    <w:p w14:paraId="6326FDF3" w14:textId="77777777" w:rsidR="00763DF2" w:rsidRDefault="00763DF2">
      <w:pPr>
        <w:pStyle w:val="Heading1"/>
        <w:tabs>
          <w:tab w:val="left" w:pos="305"/>
        </w:tabs>
        <w:ind w:hanging="20"/>
      </w:pPr>
    </w:p>
    <w:p w14:paraId="69E93E93" w14:textId="77777777" w:rsidR="00763DF2" w:rsidRDefault="00000000">
      <w:pPr>
        <w:pStyle w:val="Heading1"/>
        <w:tabs>
          <w:tab w:val="left" w:pos="305"/>
        </w:tabs>
        <w:ind w:hanging="20"/>
        <w:rPr>
          <w:sz w:val="24"/>
          <w:szCs w:val="24"/>
        </w:rPr>
      </w:pPr>
      <w:r>
        <w:rPr>
          <w:sz w:val="24"/>
          <w:szCs w:val="24"/>
        </w:rPr>
        <w:t>METODE PENELITIAN</w:t>
      </w:r>
    </w:p>
    <w:p w14:paraId="34126B70" w14:textId="77777777" w:rsidR="00763DF2" w:rsidRDefault="00000000">
      <w:pPr>
        <w:spacing w:before="40"/>
        <w:ind w:right="227" w:firstLine="720"/>
        <w:jc w:val="both"/>
        <w:rPr>
          <w:color w:val="000000"/>
          <w:sz w:val="24"/>
          <w:szCs w:val="24"/>
        </w:rPr>
      </w:pPr>
      <w:r>
        <w:rPr>
          <w:color w:val="000000"/>
          <w:sz w:val="24"/>
          <w:szCs w:val="24"/>
        </w:rPr>
        <w:t xml:space="preserve">Penelitian ini menggunakan pendekatan kuantitatif dengan metode penelitian komparatif. Pendekatan ini digunakan untuk membandingkan kinerja keuangan PT Astra International Tbk sebelum dan sesudah pandemi COVID-19. Penelitian ini menggunakan data sekunder yang </w:t>
      </w:r>
      <w:r>
        <w:rPr>
          <w:color w:val="000000"/>
          <w:sz w:val="24"/>
          <w:szCs w:val="24"/>
        </w:rPr>
        <w:lastRenderedPageBreak/>
        <w:t xml:space="preserve">diperoleh dari laporan keuangan tahunan PT Astra International Tbk periode 2018–2023 yang dipublikasikan secara resmi oleh perusahaan dari situs resmi BEI (www.idx.co.id) dan </w:t>
      </w:r>
      <w:hyperlink r:id="rId10">
        <w:r>
          <w:rPr>
            <w:color w:val="000000"/>
            <w:sz w:val="24"/>
            <w:szCs w:val="24"/>
          </w:rPr>
          <w:t>www.astra.co.id</w:t>
        </w:r>
      </w:hyperlink>
      <w:r>
        <w:rPr>
          <w:color w:val="000000"/>
          <w:sz w:val="24"/>
          <w:szCs w:val="24"/>
        </w:rPr>
        <w:t xml:space="preserve">. Periode tahun 2018–2023 yang mencakup kondisi sebelum pandemi (2018–2019) dan sesudah pandemi (2020–2023). </w:t>
      </w:r>
    </w:p>
    <w:p w14:paraId="41B07FF4" w14:textId="77777777" w:rsidR="00763DF2" w:rsidRDefault="00000000">
      <w:pPr>
        <w:ind w:right="227" w:firstLine="720"/>
        <w:jc w:val="both"/>
        <w:rPr>
          <w:color w:val="000000"/>
          <w:sz w:val="24"/>
          <w:szCs w:val="24"/>
        </w:rPr>
      </w:pPr>
      <w:r>
        <w:rPr>
          <w:color w:val="000000"/>
          <w:sz w:val="24"/>
          <w:szCs w:val="24"/>
        </w:rPr>
        <w:t xml:space="preserve">Rasio yang dianalisis meliputi: (1) </w:t>
      </w:r>
      <w:r>
        <w:rPr>
          <w:i/>
          <w:iCs/>
          <w:color w:val="000000"/>
          <w:sz w:val="24"/>
          <w:szCs w:val="24"/>
        </w:rPr>
        <w:t>Current Ratio</w:t>
      </w:r>
      <w:r>
        <w:rPr>
          <w:color w:val="000000"/>
          <w:sz w:val="24"/>
          <w:szCs w:val="24"/>
        </w:rPr>
        <w:t xml:space="preserve">, (2) </w:t>
      </w:r>
      <w:r>
        <w:rPr>
          <w:i/>
          <w:iCs/>
          <w:color w:val="000000"/>
          <w:sz w:val="24"/>
          <w:szCs w:val="24"/>
        </w:rPr>
        <w:t>Debt to Asset Ratio (DAR)</w:t>
      </w:r>
      <w:r>
        <w:rPr>
          <w:color w:val="000000"/>
          <w:sz w:val="24"/>
          <w:szCs w:val="24"/>
        </w:rPr>
        <w:t xml:space="preserve">, dan (3) </w:t>
      </w:r>
      <w:r>
        <w:rPr>
          <w:i/>
          <w:iCs/>
          <w:color w:val="000000"/>
          <w:sz w:val="24"/>
          <w:szCs w:val="24"/>
        </w:rPr>
        <w:t>Return on Assets (ROA)</w:t>
      </w:r>
      <w:r>
        <w:rPr>
          <w:color w:val="000000"/>
          <w:sz w:val="24"/>
          <w:szCs w:val="24"/>
        </w:rPr>
        <w:t>. Penelitian ini menggunakan alat bantu analisis yang digunakan adalah Microsoft Excel untuk perhitungan dan visualisasi tren rasio. Menurut Sugiyono (2019), penelitian kuantitatif bersifat objektif, terukur, dan menggunakan data numerik untuk menguji hipotesis yang telah dirumuskan sebelumnya. Arikunto (2016) menambahkan bahwa penelitian kuantitatif menekankan pada pengumpulan data berupa angka-angka dan analisis menggunakan prosedur statistik untuk menghasilkan kesimpulan yang dapat digeneralisasi.</w:t>
      </w:r>
    </w:p>
    <w:p w14:paraId="2B298C6F" w14:textId="77777777" w:rsidR="00763DF2" w:rsidRDefault="00763DF2">
      <w:pPr>
        <w:pBdr>
          <w:top w:val="nil"/>
          <w:left w:val="nil"/>
          <w:bottom w:val="nil"/>
          <w:right w:val="nil"/>
          <w:between w:val="nil"/>
        </w:pBdr>
        <w:ind w:right="38"/>
        <w:jc w:val="both"/>
        <w:rPr>
          <w:color w:val="000000"/>
          <w:sz w:val="20"/>
          <w:szCs w:val="20"/>
        </w:rPr>
      </w:pPr>
    </w:p>
    <w:p w14:paraId="73FD3B2A" w14:textId="77777777" w:rsidR="00763DF2" w:rsidRDefault="00000000">
      <w:pPr>
        <w:pStyle w:val="Heading1"/>
        <w:tabs>
          <w:tab w:val="left" w:pos="361"/>
        </w:tabs>
        <w:ind w:hanging="20"/>
        <w:rPr>
          <w:sz w:val="24"/>
          <w:szCs w:val="24"/>
        </w:rPr>
      </w:pPr>
      <w:r>
        <w:rPr>
          <w:sz w:val="24"/>
          <w:szCs w:val="24"/>
        </w:rPr>
        <w:t>HASIL PENELITIAN DAN PEMBAHASAN</w:t>
      </w:r>
    </w:p>
    <w:p w14:paraId="54D3A6FA" w14:textId="77777777" w:rsidR="00763DF2" w:rsidRDefault="00000000">
      <w:pPr>
        <w:pBdr>
          <w:top w:val="nil"/>
          <w:left w:val="nil"/>
          <w:bottom w:val="nil"/>
          <w:right w:val="nil"/>
          <w:between w:val="nil"/>
        </w:pBdr>
        <w:spacing w:before="30" w:line="276" w:lineRule="auto"/>
        <w:ind w:right="25"/>
        <w:jc w:val="center"/>
        <w:rPr>
          <w:color w:val="000000"/>
          <w:sz w:val="24"/>
          <w:szCs w:val="24"/>
        </w:rPr>
      </w:pPr>
      <w:r>
        <w:rPr>
          <w:b/>
          <w:bCs/>
          <w:color w:val="000000"/>
          <w:sz w:val="24"/>
          <w:szCs w:val="24"/>
        </w:rPr>
        <w:t>Tabel 2.</w:t>
      </w:r>
      <w:r>
        <w:rPr>
          <w:color w:val="000000"/>
          <w:sz w:val="24"/>
          <w:szCs w:val="24"/>
        </w:rPr>
        <w:t xml:space="preserve"> </w:t>
      </w:r>
      <w:r>
        <w:rPr>
          <w:b/>
          <w:bCs/>
          <w:color w:val="000000"/>
          <w:sz w:val="24"/>
          <w:szCs w:val="24"/>
        </w:rPr>
        <w:t>Hasil Perhitungan Rasio Likuiditas PT. Astra International Tbk</w:t>
      </w:r>
    </w:p>
    <w:tbl>
      <w:tblPr>
        <w:tblStyle w:val="a3"/>
        <w:tblW w:w="7933" w:type="dxa"/>
        <w:jc w:val="center"/>
        <w:tblLayout w:type="fixed"/>
        <w:tblLook w:val="0400" w:firstRow="0" w:lastRow="0" w:firstColumn="0" w:lastColumn="0" w:noHBand="0" w:noVBand="1"/>
      </w:tblPr>
      <w:tblGrid>
        <w:gridCol w:w="670"/>
        <w:gridCol w:w="736"/>
        <w:gridCol w:w="1010"/>
        <w:gridCol w:w="741"/>
        <w:gridCol w:w="680"/>
        <w:gridCol w:w="4096"/>
      </w:tblGrid>
      <w:tr w:rsidR="00763DF2" w14:paraId="0604E31C" w14:textId="77777777">
        <w:trPr>
          <w:trHeight w:val="444"/>
          <w:jc w:val="center"/>
        </w:trPr>
        <w:tc>
          <w:tcPr>
            <w:tcW w:w="670" w:type="dxa"/>
            <w:tcBorders>
              <w:top w:val="single" w:sz="4" w:space="0" w:color="000000"/>
              <w:left w:val="single" w:sz="4" w:space="0" w:color="000000"/>
              <w:bottom w:val="nil"/>
              <w:right w:val="single" w:sz="4" w:space="0" w:color="000000"/>
            </w:tcBorders>
            <w:shd w:val="clear" w:color="auto" w:fill="D9D9D9"/>
            <w:vAlign w:val="center"/>
          </w:tcPr>
          <w:p w14:paraId="56B9B43D" w14:textId="77777777" w:rsidR="00763DF2" w:rsidRDefault="00000000">
            <w:pPr>
              <w:widowControl/>
              <w:jc w:val="center"/>
              <w:rPr>
                <w:b/>
                <w:bCs/>
                <w:color w:val="000000"/>
                <w:sz w:val="16"/>
                <w:szCs w:val="16"/>
              </w:rPr>
            </w:pPr>
            <w:r>
              <w:rPr>
                <w:b/>
                <w:bCs/>
                <w:color w:val="000000"/>
                <w:sz w:val="16"/>
                <w:szCs w:val="16"/>
              </w:rPr>
              <w:t>Tahun</w:t>
            </w:r>
          </w:p>
        </w:tc>
        <w:tc>
          <w:tcPr>
            <w:tcW w:w="736" w:type="dxa"/>
            <w:tcBorders>
              <w:top w:val="single" w:sz="4" w:space="0" w:color="000000"/>
              <w:left w:val="nil"/>
              <w:bottom w:val="single" w:sz="4" w:space="0" w:color="000000"/>
              <w:right w:val="single" w:sz="4" w:space="0" w:color="000000"/>
            </w:tcBorders>
            <w:shd w:val="clear" w:color="auto" w:fill="D9D9D9"/>
            <w:vAlign w:val="center"/>
          </w:tcPr>
          <w:p w14:paraId="2D4465D2" w14:textId="77777777" w:rsidR="00763DF2" w:rsidRDefault="00000000">
            <w:pPr>
              <w:widowControl/>
              <w:jc w:val="center"/>
              <w:rPr>
                <w:b/>
                <w:bCs/>
                <w:color w:val="000000"/>
                <w:sz w:val="16"/>
                <w:szCs w:val="16"/>
              </w:rPr>
            </w:pPr>
            <w:r>
              <w:rPr>
                <w:b/>
                <w:bCs/>
                <w:color w:val="000000"/>
                <w:sz w:val="16"/>
                <w:szCs w:val="16"/>
              </w:rPr>
              <w:t>Aset Lancar</w:t>
            </w:r>
          </w:p>
        </w:tc>
        <w:tc>
          <w:tcPr>
            <w:tcW w:w="1010" w:type="dxa"/>
            <w:tcBorders>
              <w:top w:val="single" w:sz="4" w:space="0" w:color="000000"/>
              <w:left w:val="nil"/>
              <w:bottom w:val="single" w:sz="4" w:space="0" w:color="000000"/>
              <w:right w:val="single" w:sz="4" w:space="0" w:color="000000"/>
            </w:tcBorders>
            <w:shd w:val="clear" w:color="auto" w:fill="D9D9D9"/>
            <w:vAlign w:val="center"/>
          </w:tcPr>
          <w:p w14:paraId="34030514" w14:textId="77777777" w:rsidR="00763DF2" w:rsidRDefault="00000000">
            <w:pPr>
              <w:widowControl/>
              <w:jc w:val="center"/>
              <w:rPr>
                <w:b/>
                <w:bCs/>
                <w:color w:val="000000"/>
                <w:sz w:val="16"/>
                <w:szCs w:val="16"/>
              </w:rPr>
            </w:pPr>
            <w:r>
              <w:rPr>
                <w:b/>
                <w:bCs/>
                <w:color w:val="000000"/>
                <w:sz w:val="16"/>
                <w:szCs w:val="16"/>
              </w:rPr>
              <w:t>Liabilitas Lancar</w:t>
            </w:r>
          </w:p>
        </w:tc>
        <w:tc>
          <w:tcPr>
            <w:tcW w:w="741" w:type="dxa"/>
            <w:tcBorders>
              <w:top w:val="single" w:sz="4" w:space="0" w:color="000000"/>
              <w:left w:val="nil"/>
              <w:bottom w:val="single" w:sz="4" w:space="0" w:color="000000"/>
              <w:right w:val="single" w:sz="4" w:space="0" w:color="000000"/>
            </w:tcBorders>
            <w:shd w:val="clear" w:color="auto" w:fill="D9D9D9"/>
            <w:vAlign w:val="center"/>
          </w:tcPr>
          <w:p w14:paraId="72E6974B" w14:textId="77777777" w:rsidR="00763DF2" w:rsidRDefault="00000000">
            <w:pPr>
              <w:widowControl/>
              <w:jc w:val="center"/>
              <w:rPr>
                <w:b/>
                <w:bCs/>
                <w:i/>
                <w:iCs/>
                <w:color w:val="000000"/>
                <w:sz w:val="16"/>
                <w:szCs w:val="16"/>
              </w:rPr>
            </w:pPr>
            <w:r>
              <w:rPr>
                <w:b/>
                <w:bCs/>
                <w:i/>
                <w:iCs/>
                <w:color w:val="000000"/>
                <w:sz w:val="16"/>
                <w:szCs w:val="16"/>
              </w:rPr>
              <w:t>Current Ratio</w:t>
            </w:r>
          </w:p>
        </w:tc>
        <w:tc>
          <w:tcPr>
            <w:tcW w:w="680" w:type="dxa"/>
            <w:tcBorders>
              <w:top w:val="single" w:sz="4" w:space="0" w:color="000000"/>
              <w:left w:val="nil"/>
              <w:bottom w:val="single" w:sz="4" w:space="0" w:color="000000"/>
              <w:right w:val="single" w:sz="4" w:space="0" w:color="000000"/>
            </w:tcBorders>
            <w:shd w:val="clear" w:color="auto" w:fill="D9D9D9"/>
            <w:vAlign w:val="center"/>
          </w:tcPr>
          <w:p w14:paraId="13471FF2" w14:textId="77777777" w:rsidR="00763DF2" w:rsidRDefault="00000000">
            <w:pPr>
              <w:widowControl/>
              <w:jc w:val="center"/>
              <w:rPr>
                <w:b/>
                <w:bCs/>
                <w:color w:val="000000"/>
                <w:sz w:val="16"/>
                <w:szCs w:val="16"/>
              </w:rPr>
            </w:pPr>
            <w:r>
              <w:rPr>
                <w:b/>
                <w:bCs/>
                <w:color w:val="000000"/>
                <w:sz w:val="16"/>
                <w:szCs w:val="16"/>
              </w:rPr>
              <w:t>Nilai Ideal</w:t>
            </w:r>
          </w:p>
        </w:tc>
        <w:tc>
          <w:tcPr>
            <w:tcW w:w="4096" w:type="dxa"/>
            <w:tcBorders>
              <w:top w:val="single" w:sz="4" w:space="0" w:color="000000"/>
              <w:left w:val="nil"/>
              <w:bottom w:val="single" w:sz="4" w:space="0" w:color="000000"/>
              <w:right w:val="single" w:sz="4" w:space="0" w:color="000000"/>
            </w:tcBorders>
            <w:shd w:val="clear" w:color="auto" w:fill="D9D9D9"/>
            <w:vAlign w:val="center"/>
          </w:tcPr>
          <w:p w14:paraId="2AA13898" w14:textId="77777777" w:rsidR="00763DF2" w:rsidRDefault="00000000">
            <w:pPr>
              <w:widowControl/>
              <w:jc w:val="center"/>
              <w:rPr>
                <w:b/>
                <w:bCs/>
                <w:color w:val="000000"/>
                <w:sz w:val="16"/>
                <w:szCs w:val="16"/>
              </w:rPr>
            </w:pPr>
            <w:r>
              <w:rPr>
                <w:b/>
                <w:bCs/>
                <w:color w:val="000000"/>
                <w:sz w:val="16"/>
                <w:szCs w:val="16"/>
              </w:rPr>
              <w:t>Interpretasi</w:t>
            </w:r>
          </w:p>
        </w:tc>
      </w:tr>
      <w:tr w:rsidR="00763DF2" w14:paraId="66C3522A" w14:textId="77777777">
        <w:trPr>
          <w:trHeight w:val="444"/>
          <w:jc w:val="center"/>
        </w:trPr>
        <w:tc>
          <w:tcPr>
            <w:tcW w:w="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894C04" w14:textId="77777777" w:rsidR="00763DF2" w:rsidRDefault="00000000">
            <w:pPr>
              <w:widowControl/>
              <w:jc w:val="center"/>
              <w:rPr>
                <w:color w:val="000000"/>
                <w:sz w:val="16"/>
                <w:szCs w:val="16"/>
              </w:rPr>
            </w:pPr>
            <w:r>
              <w:rPr>
                <w:color w:val="000000"/>
                <w:sz w:val="16"/>
                <w:szCs w:val="16"/>
              </w:rPr>
              <w:t>2018</w:t>
            </w:r>
          </w:p>
        </w:tc>
        <w:tc>
          <w:tcPr>
            <w:tcW w:w="736" w:type="dxa"/>
            <w:tcBorders>
              <w:top w:val="nil"/>
              <w:left w:val="nil"/>
              <w:bottom w:val="single" w:sz="4" w:space="0" w:color="000000"/>
              <w:right w:val="single" w:sz="4" w:space="0" w:color="000000"/>
            </w:tcBorders>
            <w:shd w:val="clear" w:color="auto" w:fill="FFFFFF"/>
            <w:vAlign w:val="center"/>
          </w:tcPr>
          <w:p w14:paraId="2235FAB0" w14:textId="77777777" w:rsidR="00763DF2" w:rsidRDefault="00000000">
            <w:pPr>
              <w:widowControl/>
              <w:jc w:val="center"/>
              <w:rPr>
                <w:color w:val="000000"/>
                <w:sz w:val="16"/>
                <w:szCs w:val="16"/>
              </w:rPr>
            </w:pPr>
            <w:r>
              <w:rPr>
                <w:color w:val="000000"/>
                <w:sz w:val="16"/>
                <w:szCs w:val="16"/>
              </w:rPr>
              <w:t>131,180</w:t>
            </w:r>
          </w:p>
        </w:tc>
        <w:tc>
          <w:tcPr>
            <w:tcW w:w="1010" w:type="dxa"/>
            <w:tcBorders>
              <w:top w:val="nil"/>
              <w:left w:val="nil"/>
              <w:bottom w:val="single" w:sz="4" w:space="0" w:color="000000"/>
              <w:right w:val="single" w:sz="4" w:space="0" w:color="000000"/>
            </w:tcBorders>
            <w:shd w:val="clear" w:color="auto" w:fill="FFFFFF"/>
            <w:vAlign w:val="center"/>
          </w:tcPr>
          <w:p w14:paraId="0BDF057C" w14:textId="77777777" w:rsidR="00763DF2" w:rsidRDefault="00000000">
            <w:pPr>
              <w:widowControl/>
              <w:jc w:val="center"/>
              <w:rPr>
                <w:color w:val="000000"/>
                <w:sz w:val="16"/>
                <w:szCs w:val="16"/>
              </w:rPr>
            </w:pPr>
            <w:r>
              <w:rPr>
                <w:color w:val="000000"/>
                <w:sz w:val="16"/>
                <w:szCs w:val="16"/>
              </w:rPr>
              <w:t>116,467</w:t>
            </w:r>
          </w:p>
        </w:tc>
        <w:tc>
          <w:tcPr>
            <w:tcW w:w="741" w:type="dxa"/>
            <w:tcBorders>
              <w:top w:val="nil"/>
              <w:left w:val="nil"/>
              <w:bottom w:val="single" w:sz="4" w:space="0" w:color="000000"/>
              <w:right w:val="single" w:sz="4" w:space="0" w:color="000000"/>
            </w:tcBorders>
            <w:shd w:val="clear" w:color="auto" w:fill="FFFFFF"/>
            <w:vAlign w:val="center"/>
          </w:tcPr>
          <w:p w14:paraId="05E22DD5" w14:textId="77777777" w:rsidR="00763DF2" w:rsidRDefault="00000000">
            <w:pPr>
              <w:widowControl/>
              <w:jc w:val="center"/>
              <w:rPr>
                <w:color w:val="000000"/>
                <w:sz w:val="16"/>
                <w:szCs w:val="16"/>
              </w:rPr>
            </w:pPr>
            <w:r>
              <w:rPr>
                <w:color w:val="000000"/>
                <w:sz w:val="16"/>
                <w:szCs w:val="16"/>
              </w:rPr>
              <w:t>1.13</w:t>
            </w:r>
          </w:p>
        </w:tc>
        <w:tc>
          <w:tcPr>
            <w:tcW w:w="680" w:type="dxa"/>
            <w:tcBorders>
              <w:top w:val="nil"/>
              <w:left w:val="nil"/>
              <w:bottom w:val="single" w:sz="4" w:space="0" w:color="000000"/>
              <w:right w:val="single" w:sz="4" w:space="0" w:color="000000"/>
            </w:tcBorders>
            <w:shd w:val="clear" w:color="auto" w:fill="FFFFFF"/>
            <w:vAlign w:val="center"/>
          </w:tcPr>
          <w:p w14:paraId="5104F84E" w14:textId="77777777" w:rsidR="00763DF2" w:rsidRDefault="00000000">
            <w:pPr>
              <w:widowControl/>
              <w:jc w:val="center"/>
              <w:rPr>
                <w:color w:val="000000"/>
                <w:sz w:val="16"/>
                <w:szCs w:val="16"/>
              </w:rPr>
            </w:pPr>
            <w:r>
              <w:rPr>
                <w:color w:val="000000"/>
                <w:sz w:val="16"/>
                <w:szCs w:val="16"/>
              </w:rPr>
              <w:t>2</w:t>
            </w:r>
          </w:p>
        </w:tc>
        <w:tc>
          <w:tcPr>
            <w:tcW w:w="4096" w:type="dxa"/>
            <w:tcBorders>
              <w:top w:val="nil"/>
              <w:left w:val="nil"/>
              <w:bottom w:val="single" w:sz="4" w:space="0" w:color="000000"/>
              <w:right w:val="single" w:sz="4" w:space="0" w:color="000000"/>
            </w:tcBorders>
            <w:shd w:val="clear" w:color="auto" w:fill="FFFFFF"/>
            <w:vAlign w:val="center"/>
          </w:tcPr>
          <w:p w14:paraId="46B69D74" w14:textId="77777777" w:rsidR="00763DF2" w:rsidRDefault="00000000">
            <w:pPr>
              <w:widowControl/>
              <w:rPr>
                <w:color w:val="000000"/>
                <w:sz w:val="16"/>
                <w:szCs w:val="16"/>
              </w:rPr>
            </w:pPr>
            <w:r>
              <w:rPr>
                <w:color w:val="000000"/>
                <w:sz w:val="16"/>
                <w:szCs w:val="16"/>
              </w:rPr>
              <w:t>Likuiditas perusahaan tergolong cukup</w:t>
            </w:r>
          </w:p>
        </w:tc>
      </w:tr>
      <w:tr w:rsidR="00763DF2" w14:paraId="5C2604D4" w14:textId="77777777">
        <w:trPr>
          <w:trHeight w:val="444"/>
          <w:jc w:val="center"/>
        </w:trPr>
        <w:tc>
          <w:tcPr>
            <w:tcW w:w="670" w:type="dxa"/>
            <w:tcBorders>
              <w:top w:val="nil"/>
              <w:left w:val="single" w:sz="4" w:space="0" w:color="000000"/>
              <w:bottom w:val="single" w:sz="4" w:space="0" w:color="000000"/>
              <w:right w:val="single" w:sz="4" w:space="0" w:color="000000"/>
            </w:tcBorders>
            <w:shd w:val="clear" w:color="auto" w:fill="FFFFFF"/>
            <w:vAlign w:val="center"/>
          </w:tcPr>
          <w:p w14:paraId="6E340C17" w14:textId="77777777" w:rsidR="00763DF2" w:rsidRDefault="00000000">
            <w:pPr>
              <w:widowControl/>
              <w:jc w:val="center"/>
              <w:rPr>
                <w:color w:val="000000"/>
                <w:sz w:val="16"/>
                <w:szCs w:val="16"/>
              </w:rPr>
            </w:pPr>
            <w:r>
              <w:rPr>
                <w:color w:val="000000"/>
                <w:sz w:val="16"/>
                <w:szCs w:val="16"/>
              </w:rPr>
              <w:t>2019</w:t>
            </w:r>
          </w:p>
        </w:tc>
        <w:tc>
          <w:tcPr>
            <w:tcW w:w="736" w:type="dxa"/>
            <w:tcBorders>
              <w:top w:val="nil"/>
              <w:left w:val="nil"/>
              <w:bottom w:val="single" w:sz="4" w:space="0" w:color="000000"/>
              <w:right w:val="single" w:sz="4" w:space="0" w:color="000000"/>
            </w:tcBorders>
            <w:shd w:val="clear" w:color="auto" w:fill="FFFFFF"/>
            <w:vAlign w:val="center"/>
          </w:tcPr>
          <w:p w14:paraId="5DC0D1B4" w14:textId="77777777" w:rsidR="00763DF2" w:rsidRDefault="00000000">
            <w:pPr>
              <w:widowControl/>
              <w:jc w:val="center"/>
              <w:rPr>
                <w:color w:val="000000"/>
                <w:sz w:val="16"/>
                <w:szCs w:val="16"/>
              </w:rPr>
            </w:pPr>
            <w:r>
              <w:rPr>
                <w:color w:val="000000"/>
                <w:sz w:val="16"/>
                <w:szCs w:val="16"/>
              </w:rPr>
              <w:t>129,058</w:t>
            </w:r>
          </w:p>
        </w:tc>
        <w:tc>
          <w:tcPr>
            <w:tcW w:w="1010" w:type="dxa"/>
            <w:tcBorders>
              <w:top w:val="nil"/>
              <w:left w:val="nil"/>
              <w:bottom w:val="single" w:sz="4" w:space="0" w:color="000000"/>
              <w:right w:val="single" w:sz="4" w:space="0" w:color="000000"/>
            </w:tcBorders>
            <w:shd w:val="clear" w:color="auto" w:fill="FFFFFF"/>
            <w:vAlign w:val="center"/>
          </w:tcPr>
          <w:p w14:paraId="4939D044" w14:textId="77777777" w:rsidR="00763DF2" w:rsidRDefault="00000000">
            <w:pPr>
              <w:widowControl/>
              <w:jc w:val="center"/>
              <w:rPr>
                <w:color w:val="000000"/>
                <w:sz w:val="16"/>
                <w:szCs w:val="16"/>
              </w:rPr>
            </w:pPr>
            <w:r>
              <w:rPr>
                <w:color w:val="000000"/>
                <w:sz w:val="16"/>
                <w:szCs w:val="16"/>
              </w:rPr>
              <w:t>99,962</w:t>
            </w:r>
          </w:p>
        </w:tc>
        <w:tc>
          <w:tcPr>
            <w:tcW w:w="741" w:type="dxa"/>
            <w:tcBorders>
              <w:top w:val="nil"/>
              <w:left w:val="nil"/>
              <w:bottom w:val="single" w:sz="4" w:space="0" w:color="000000"/>
              <w:right w:val="single" w:sz="4" w:space="0" w:color="000000"/>
            </w:tcBorders>
            <w:shd w:val="clear" w:color="auto" w:fill="FFFFFF"/>
            <w:vAlign w:val="center"/>
          </w:tcPr>
          <w:p w14:paraId="49F78D6E" w14:textId="77777777" w:rsidR="00763DF2" w:rsidRDefault="00000000">
            <w:pPr>
              <w:widowControl/>
              <w:jc w:val="center"/>
              <w:rPr>
                <w:color w:val="000000"/>
                <w:sz w:val="16"/>
                <w:szCs w:val="16"/>
              </w:rPr>
            </w:pPr>
            <w:r>
              <w:rPr>
                <w:color w:val="000000"/>
                <w:sz w:val="16"/>
                <w:szCs w:val="16"/>
              </w:rPr>
              <w:t>1.29</w:t>
            </w:r>
          </w:p>
        </w:tc>
        <w:tc>
          <w:tcPr>
            <w:tcW w:w="680" w:type="dxa"/>
            <w:tcBorders>
              <w:top w:val="nil"/>
              <w:left w:val="nil"/>
              <w:bottom w:val="single" w:sz="4" w:space="0" w:color="000000"/>
              <w:right w:val="single" w:sz="4" w:space="0" w:color="000000"/>
            </w:tcBorders>
            <w:shd w:val="clear" w:color="auto" w:fill="FFFFFF"/>
            <w:vAlign w:val="center"/>
          </w:tcPr>
          <w:p w14:paraId="38F98ECD" w14:textId="77777777" w:rsidR="00763DF2" w:rsidRDefault="00000000">
            <w:pPr>
              <w:widowControl/>
              <w:jc w:val="center"/>
              <w:rPr>
                <w:color w:val="000000"/>
                <w:sz w:val="16"/>
                <w:szCs w:val="16"/>
              </w:rPr>
            </w:pPr>
            <w:r>
              <w:rPr>
                <w:color w:val="000000"/>
                <w:sz w:val="16"/>
                <w:szCs w:val="16"/>
              </w:rPr>
              <w:t>2</w:t>
            </w:r>
          </w:p>
        </w:tc>
        <w:tc>
          <w:tcPr>
            <w:tcW w:w="4096" w:type="dxa"/>
            <w:tcBorders>
              <w:top w:val="nil"/>
              <w:left w:val="nil"/>
              <w:bottom w:val="single" w:sz="4" w:space="0" w:color="000000"/>
              <w:right w:val="single" w:sz="4" w:space="0" w:color="000000"/>
            </w:tcBorders>
            <w:shd w:val="clear" w:color="auto" w:fill="FFFFFF"/>
            <w:vAlign w:val="center"/>
          </w:tcPr>
          <w:p w14:paraId="58E82025" w14:textId="77777777" w:rsidR="00763DF2" w:rsidRDefault="00000000">
            <w:pPr>
              <w:widowControl/>
              <w:rPr>
                <w:color w:val="000000"/>
                <w:sz w:val="16"/>
                <w:szCs w:val="16"/>
              </w:rPr>
            </w:pPr>
            <w:r>
              <w:rPr>
                <w:color w:val="000000"/>
                <w:sz w:val="16"/>
                <w:szCs w:val="16"/>
              </w:rPr>
              <w:t>CR meningkat, namun masih kurang baik</w:t>
            </w:r>
          </w:p>
        </w:tc>
      </w:tr>
      <w:tr w:rsidR="00763DF2" w14:paraId="7C9830A9" w14:textId="77777777">
        <w:trPr>
          <w:trHeight w:val="444"/>
          <w:jc w:val="center"/>
        </w:trPr>
        <w:tc>
          <w:tcPr>
            <w:tcW w:w="670" w:type="dxa"/>
            <w:tcBorders>
              <w:top w:val="nil"/>
              <w:left w:val="single" w:sz="4" w:space="0" w:color="000000"/>
              <w:bottom w:val="single" w:sz="4" w:space="0" w:color="000000"/>
              <w:right w:val="single" w:sz="4" w:space="0" w:color="000000"/>
            </w:tcBorders>
            <w:shd w:val="clear" w:color="auto" w:fill="FFFFFF"/>
            <w:vAlign w:val="center"/>
          </w:tcPr>
          <w:p w14:paraId="39942D9B" w14:textId="77777777" w:rsidR="00763DF2" w:rsidRDefault="00000000">
            <w:pPr>
              <w:widowControl/>
              <w:jc w:val="center"/>
              <w:rPr>
                <w:color w:val="000000"/>
                <w:sz w:val="16"/>
                <w:szCs w:val="16"/>
              </w:rPr>
            </w:pPr>
            <w:r>
              <w:rPr>
                <w:color w:val="000000"/>
                <w:sz w:val="16"/>
                <w:szCs w:val="16"/>
              </w:rPr>
              <w:t>2020</w:t>
            </w:r>
          </w:p>
        </w:tc>
        <w:tc>
          <w:tcPr>
            <w:tcW w:w="736" w:type="dxa"/>
            <w:tcBorders>
              <w:top w:val="nil"/>
              <w:left w:val="nil"/>
              <w:bottom w:val="single" w:sz="4" w:space="0" w:color="000000"/>
              <w:right w:val="single" w:sz="4" w:space="0" w:color="000000"/>
            </w:tcBorders>
            <w:shd w:val="clear" w:color="auto" w:fill="FFFFFF"/>
            <w:vAlign w:val="center"/>
          </w:tcPr>
          <w:p w14:paraId="04A65F11" w14:textId="77777777" w:rsidR="00763DF2" w:rsidRDefault="00000000">
            <w:pPr>
              <w:widowControl/>
              <w:jc w:val="center"/>
              <w:rPr>
                <w:color w:val="000000"/>
                <w:sz w:val="16"/>
                <w:szCs w:val="16"/>
              </w:rPr>
            </w:pPr>
            <w:r>
              <w:rPr>
                <w:color w:val="000000"/>
                <w:sz w:val="16"/>
                <w:szCs w:val="16"/>
              </w:rPr>
              <w:t>132,308</w:t>
            </w:r>
          </w:p>
        </w:tc>
        <w:tc>
          <w:tcPr>
            <w:tcW w:w="1010" w:type="dxa"/>
            <w:tcBorders>
              <w:top w:val="nil"/>
              <w:left w:val="nil"/>
              <w:bottom w:val="single" w:sz="4" w:space="0" w:color="000000"/>
              <w:right w:val="single" w:sz="4" w:space="0" w:color="000000"/>
            </w:tcBorders>
            <w:shd w:val="clear" w:color="auto" w:fill="FFFFFF"/>
            <w:vAlign w:val="center"/>
          </w:tcPr>
          <w:p w14:paraId="7D99B4C9" w14:textId="77777777" w:rsidR="00763DF2" w:rsidRDefault="00000000">
            <w:pPr>
              <w:widowControl/>
              <w:jc w:val="center"/>
              <w:rPr>
                <w:color w:val="000000"/>
                <w:sz w:val="16"/>
                <w:szCs w:val="16"/>
              </w:rPr>
            </w:pPr>
            <w:r>
              <w:rPr>
                <w:color w:val="000000"/>
                <w:sz w:val="16"/>
                <w:szCs w:val="16"/>
              </w:rPr>
              <w:t>85,736</w:t>
            </w:r>
          </w:p>
        </w:tc>
        <w:tc>
          <w:tcPr>
            <w:tcW w:w="741" w:type="dxa"/>
            <w:tcBorders>
              <w:top w:val="nil"/>
              <w:left w:val="nil"/>
              <w:bottom w:val="single" w:sz="4" w:space="0" w:color="000000"/>
              <w:right w:val="single" w:sz="4" w:space="0" w:color="000000"/>
            </w:tcBorders>
            <w:shd w:val="clear" w:color="auto" w:fill="FFFFFF"/>
            <w:vAlign w:val="center"/>
          </w:tcPr>
          <w:p w14:paraId="0CB98A45" w14:textId="77777777" w:rsidR="00763DF2" w:rsidRDefault="00000000">
            <w:pPr>
              <w:widowControl/>
              <w:jc w:val="center"/>
              <w:rPr>
                <w:color w:val="000000"/>
                <w:sz w:val="16"/>
                <w:szCs w:val="16"/>
              </w:rPr>
            </w:pPr>
            <w:r>
              <w:rPr>
                <w:color w:val="000000"/>
                <w:sz w:val="16"/>
                <w:szCs w:val="16"/>
              </w:rPr>
              <w:t>1.54</w:t>
            </w:r>
          </w:p>
        </w:tc>
        <w:tc>
          <w:tcPr>
            <w:tcW w:w="680" w:type="dxa"/>
            <w:tcBorders>
              <w:top w:val="nil"/>
              <w:left w:val="nil"/>
              <w:bottom w:val="single" w:sz="4" w:space="0" w:color="000000"/>
              <w:right w:val="single" w:sz="4" w:space="0" w:color="000000"/>
            </w:tcBorders>
            <w:shd w:val="clear" w:color="auto" w:fill="FFFFFF"/>
            <w:vAlign w:val="center"/>
          </w:tcPr>
          <w:p w14:paraId="44FA274C" w14:textId="77777777" w:rsidR="00763DF2" w:rsidRDefault="00000000">
            <w:pPr>
              <w:widowControl/>
              <w:jc w:val="center"/>
              <w:rPr>
                <w:color w:val="000000"/>
                <w:sz w:val="16"/>
                <w:szCs w:val="16"/>
              </w:rPr>
            </w:pPr>
            <w:r>
              <w:rPr>
                <w:color w:val="000000"/>
                <w:sz w:val="16"/>
                <w:szCs w:val="16"/>
              </w:rPr>
              <w:t>2</w:t>
            </w:r>
          </w:p>
        </w:tc>
        <w:tc>
          <w:tcPr>
            <w:tcW w:w="4096" w:type="dxa"/>
            <w:tcBorders>
              <w:top w:val="nil"/>
              <w:left w:val="nil"/>
              <w:bottom w:val="single" w:sz="4" w:space="0" w:color="000000"/>
              <w:right w:val="single" w:sz="4" w:space="0" w:color="000000"/>
            </w:tcBorders>
            <w:shd w:val="clear" w:color="auto" w:fill="FFFFFF"/>
            <w:vAlign w:val="center"/>
          </w:tcPr>
          <w:p w14:paraId="4BC26B38" w14:textId="77777777" w:rsidR="00763DF2" w:rsidRDefault="00000000">
            <w:pPr>
              <w:widowControl/>
              <w:rPr>
                <w:color w:val="000000"/>
                <w:sz w:val="16"/>
                <w:szCs w:val="16"/>
              </w:rPr>
            </w:pPr>
            <w:r>
              <w:rPr>
                <w:color w:val="000000"/>
                <w:sz w:val="16"/>
                <w:szCs w:val="16"/>
              </w:rPr>
              <w:t>CR meningkat, meski tetap belum ideal</w:t>
            </w:r>
          </w:p>
        </w:tc>
      </w:tr>
      <w:tr w:rsidR="00763DF2" w14:paraId="75451072" w14:textId="77777777">
        <w:trPr>
          <w:trHeight w:val="444"/>
          <w:jc w:val="center"/>
        </w:trPr>
        <w:tc>
          <w:tcPr>
            <w:tcW w:w="670" w:type="dxa"/>
            <w:tcBorders>
              <w:top w:val="nil"/>
              <w:left w:val="single" w:sz="4" w:space="0" w:color="000000"/>
              <w:bottom w:val="single" w:sz="4" w:space="0" w:color="000000"/>
              <w:right w:val="single" w:sz="4" w:space="0" w:color="000000"/>
            </w:tcBorders>
            <w:shd w:val="clear" w:color="auto" w:fill="FFFFFF"/>
            <w:vAlign w:val="center"/>
          </w:tcPr>
          <w:p w14:paraId="758FC41E" w14:textId="77777777" w:rsidR="00763DF2" w:rsidRDefault="00000000">
            <w:pPr>
              <w:widowControl/>
              <w:jc w:val="center"/>
              <w:rPr>
                <w:color w:val="000000"/>
                <w:sz w:val="16"/>
                <w:szCs w:val="16"/>
              </w:rPr>
            </w:pPr>
            <w:r>
              <w:rPr>
                <w:color w:val="000000"/>
                <w:sz w:val="16"/>
                <w:szCs w:val="16"/>
              </w:rPr>
              <w:t>2021</w:t>
            </w:r>
          </w:p>
        </w:tc>
        <w:tc>
          <w:tcPr>
            <w:tcW w:w="736" w:type="dxa"/>
            <w:tcBorders>
              <w:top w:val="nil"/>
              <w:left w:val="nil"/>
              <w:bottom w:val="single" w:sz="4" w:space="0" w:color="000000"/>
              <w:right w:val="single" w:sz="4" w:space="0" w:color="000000"/>
            </w:tcBorders>
            <w:shd w:val="clear" w:color="auto" w:fill="FFFFFF"/>
            <w:vAlign w:val="center"/>
          </w:tcPr>
          <w:p w14:paraId="2763B580" w14:textId="77777777" w:rsidR="00763DF2" w:rsidRDefault="00000000">
            <w:pPr>
              <w:widowControl/>
              <w:jc w:val="center"/>
              <w:rPr>
                <w:color w:val="000000"/>
                <w:sz w:val="16"/>
                <w:szCs w:val="16"/>
              </w:rPr>
            </w:pPr>
            <w:r>
              <w:rPr>
                <w:color w:val="000000"/>
                <w:sz w:val="16"/>
                <w:szCs w:val="16"/>
              </w:rPr>
              <w:t>160,262</w:t>
            </w:r>
          </w:p>
        </w:tc>
        <w:tc>
          <w:tcPr>
            <w:tcW w:w="1010" w:type="dxa"/>
            <w:tcBorders>
              <w:top w:val="nil"/>
              <w:left w:val="nil"/>
              <w:bottom w:val="single" w:sz="4" w:space="0" w:color="000000"/>
              <w:right w:val="single" w:sz="4" w:space="0" w:color="000000"/>
            </w:tcBorders>
            <w:shd w:val="clear" w:color="auto" w:fill="FFFFFF"/>
            <w:vAlign w:val="center"/>
          </w:tcPr>
          <w:p w14:paraId="3736BA0E" w14:textId="77777777" w:rsidR="00763DF2" w:rsidRDefault="00000000">
            <w:pPr>
              <w:widowControl/>
              <w:jc w:val="center"/>
              <w:rPr>
                <w:color w:val="000000"/>
                <w:sz w:val="16"/>
                <w:szCs w:val="16"/>
              </w:rPr>
            </w:pPr>
            <w:r>
              <w:rPr>
                <w:color w:val="000000"/>
                <w:sz w:val="16"/>
                <w:szCs w:val="16"/>
              </w:rPr>
              <w:t>103,778</w:t>
            </w:r>
          </w:p>
        </w:tc>
        <w:tc>
          <w:tcPr>
            <w:tcW w:w="741" w:type="dxa"/>
            <w:tcBorders>
              <w:top w:val="nil"/>
              <w:left w:val="nil"/>
              <w:bottom w:val="single" w:sz="4" w:space="0" w:color="000000"/>
              <w:right w:val="single" w:sz="4" w:space="0" w:color="000000"/>
            </w:tcBorders>
            <w:shd w:val="clear" w:color="auto" w:fill="FFFFFF"/>
            <w:vAlign w:val="center"/>
          </w:tcPr>
          <w:p w14:paraId="498C7AA9" w14:textId="77777777" w:rsidR="00763DF2" w:rsidRDefault="00000000">
            <w:pPr>
              <w:widowControl/>
              <w:jc w:val="center"/>
              <w:rPr>
                <w:color w:val="000000"/>
                <w:sz w:val="16"/>
                <w:szCs w:val="16"/>
              </w:rPr>
            </w:pPr>
            <w:r>
              <w:rPr>
                <w:color w:val="000000"/>
                <w:sz w:val="16"/>
                <w:szCs w:val="16"/>
              </w:rPr>
              <w:t>1.54</w:t>
            </w:r>
          </w:p>
        </w:tc>
        <w:tc>
          <w:tcPr>
            <w:tcW w:w="680" w:type="dxa"/>
            <w:tcBorders>
              <w:top w:val="nil"/>
              <w:left w:val="nil"/>
              <w:bottom w:val="single" w:sz="4" w:space="0" w:color="000000"/>
              <w:right w:val="single" w:sz="4" w:space="0" w:color="000000"/>
            </w:tcBorders>
            <w:shd w:val="clear" w:color="auto" w:fill="FFFFFF"/>
            <w:vAlign w:val="center"/>
          </w:tcPr>
          <w:p w14:paraId="2D4A7B7D" w14:textId="77777777" w:rsidR="00763DF2" w:rsidRDefault="00000000">
            <w:pPr>
              <w:widowControl/>
              <w:jc w:val="center"/>
              <w:rPr>
                <w:color w:val="000000"/>
                <w:sz w:val="16"/>
                <w:szCs w:val="16"/>
              </w:rPr>
            </w:pPr>
            <w:r>
              <w:rPr>
                <w:color w:val="000000"/>
                <w:sz w:val="16"/>
                <w:szCs w:val="16"/>
              </w:rPr>
              <w:t>2</w:t>
            </w:r>
          </w:p>
        </w:tc>
        <w:tc>
          <w:tcPr>
            <w:tcW w:w="4096" w:type="dxa"/>
            <w:tcBorders>
              <w:top w:val="nil"/>
              <w:left w:val="nil"/>
              <w:bottom w:val="single" w:sz="4" w:space="0" w:color="000000"/>
              <w:right w:val="single" w:sz="4" w:space="0" w:color="000000"/>
            </w:tcBorders>
            <w:shd w:val="clear" w:color="auto" w:fill="FFFFFF"/>
            <w:vAlign w:val="center"/>
          </w:tcPr>
          <w:p w14:paraId="1D7038F0" w14:textId="77777777" w:rsidR="00763DF2" w:rsidRDefault="00000000">
            <w:pPr>
              <w:widowControl/>
              <w:rPr>
                <w:color w:val="000000"/>
                <w:sz w:val="16"/>
                <w:szCs w:val="16"/>
              </w:rPr>
            </w:pPr>
            <w:r>
              <w:rPr>
                <w:color w:val="000000"/>
                <w:sz w:val="16"/>
                <w:szCs w:val="16"/>
              </w:rPr>
              <w:t>CR stabil namun masih belum mencapai standar industri</w:t>
            </w:r>
          </w:p>
        </w:tc>
      </w:tr>
      <w:tr w:rsidR="00763DF2" w14:paraId="6169D296" w14:textId="77777777">
        <w:trPr>
          <w:trHeight w:val="444"/>
          <w:jc w:val="center"/>
        </w:trPr>
        <w:tc>
          <w:tcPr>
            <w:tcW w:w="670" w:type="dxa"/>
            <w:tcBorders>
              <w:top w:val="nil"/>
              <w:left w:val="single" w:sz="4" w:space="0" w:color="000000"/>
              <w:bottom w:val="single" w:sz="4" w:space="0" w:color="000000"/>
              <w:right w:val="single" w:sz="4" w:space="0" w:color="000000"/>
            </w:tcBorders>
            <w:shd w:val="clear" w:color="auto" w:fill="FFFFFF"/>
            <w:vAlign w:val="center"/>
          </w:tcPr>
          <w:p w14:paraId="7594EDA1" w14:textId="77777777" w:rsidR="00763DF2" w:rsidRDefault="00000000">
            <w:pPr>
              <w:widowControl/>
              <w:jc w:val="center"/>
              <w:rPr>
                <w:color w:val="000000"/>
                <w:sz w:val="16"/>
                <w:szCs w:val="16"/>
              </w:rPr>
            </w:pPr>
            <w:r>
              <w:rPr>
                <w:color w:val="000000"/>
                <w:sz w:val="16"/>
                <w:szCs w:val="16"/>
              </w:rPr>
              <w:t>2022</w:t>
            </w:r>
          </w:p>
        </w:tc>
        <w:tc>
          <w:tcPr>
            <w:tcW w:w="736" w:type="dxa"/>
            <w:tcBorders>
              <w:top w:val="nil"/>
              <w:left w:val="nil"/>
              <w:bottom w:val="single" w:sz="4" w:space="0" w:color="000000"/>
              <w:right w:val="single" w:sz="4" w:space="0" w:color="000000"/>
            </w:tcBorders>
            <w:shd w:val="clear" w:color="auto" w:fill="FFFFFF"/>
            <w:vAlign w:val="center"/>
          </w:tcPr>
          <w:p w14:paraId="6D6D4261" w14:textId="77777777" w:rsidR="00763DF2" w:rsidRDefault="00000000">
            <w:pPr>
              <w:widowControl/>
              <w:jc w:val="center"/>
              <w:rPr>
                <w:color w:val="000000"/>
                <w:sz w:val="16"/>
                <w:szCs w:val="16"/>
              </w:rPr>
            </w:pPr>
            <w:r>
              <w:rPr>
                <w:color w:val="000000"/>
                <w:sz w:val="16"/>
                <w:szCs w:val="16"/>
              </w:rPr>
              <w:t>179,818</w:t>
            </w:r>
          </w:p>
        </w:tc>
        <w:tc>
          <w:tcPr>
            <w:tcW w:w="1010" w:type="dxa"/>
            <w:tcBorders>
              <w:top w:val="nil"/>
              <w:left w:val="nil"/>
              <w:bottom w:val="single" w:sz="4" w:space="0" w:color="000000"/>
              <w:right w:val="single" w:sz="4" w:space="0" w:color="000000"/>
            </w:tcBorders>
            <w:shd w:val="clear" w:color="auto" w:fill="FFFFFF"/>
            <w:vAlign w:val="center"/>
          </w:tcPr>
          <w:p w14:paraId="13987E0C" w14:textId="77777777" w:rsidR="00763DF2" w:rsidRDefault="00000000">
            <w:pPr>
              <w:widowControl/>
              <w:jc w:val="center"/>
              <w:rPr>
                <w:color w:val="000000"/>
                <w:sz w:val="16"/>
                <w:szCs w:val="16"/>
              </w:rPr>
            </w:pPr>
            <w:r>
              <w:rPr>
                <w:color w:val="000000"/>
                <w:sz w:val="16"/>
                <w:szCs w:val="16"/>
              </w:rPr>
              <w:t>119,198</w:t>
            </w:r>
          </w:p>
        </w:tc>
        <w:tc>
          <w:tcPr>
            <w:tcW w:w="741" w:type="dxa"/>
            <w:tcBorders>
              <w:top w:val="nil"/>
              <w:left w:val="nil"/>
              <w:bottom w:val="single" w:sz="4" w:space="0" w:color="000000"/>
              <w:right w:val="single" w:sz="4" w:space="0" w:color="000000"/>
            </w:tcBorders>
            <w:shd w:val="clear" w:color="auto" w:fill="FFFFFF"/>
            <w:vAlign w:val="center"/>
          </w:tcPr>
          <w:p w14:paraId="5C28611C" w14:textId="77777777" w:rsidR="00763DF2" w:rsidRDefault="00000000">
            <w:pPr>
              <w:widowControl/>
              <w:jc w:val="center"/>
              <w:rPr>
                <w:color w:val="000000"/>
                <w:sz w:val="16"/>
                <w:szCs w:val="16"/>
              </w:rPr>
            </w:pPr>
            <w:r>
              <w:rPr>
                <w:color w:val="000000"/>
                <w:sz w:val="16"/>
                <w:szCs w:val="16"/>
              </w:rPr>
              <w:t>1.51</w:t>
            </w:r>
          </w:p>
        </w:tc>
        <w:tc>
          <w:tcPr>
            <w:tcW w:w="680" w:type="dxa"/>
            <w:tcBorders>
              <w:top w:val="nil"/>
              <w:left w:val="nil"/>
              <w:bottom w:val="single" w:sz="4" w:space="0" w:color="000000"/>
              <w:right w:val="single" w:sz="4" w:space="0" w:color="000000"/>
            </w:tcBorders>
            <w:shd w:val="clear" w:color="auto" w:fill="FFFFFF"/>
            <w:vAlign w:val="center"/>
          </w:tcPr>
          <w:p w14:paraId="14224558" w14:textId="77777777" w:rsidR="00763DF2" w:rsidRDefault="00000000">
            <w:pPr>
              <w:widowControl/>
              <w:jc w:val="center"/>
              <w:rPr>
                <w:color w:val="000000"/>
                <w:sz w:val="16"/>
                <w:szCs w:val="16"/>
              </w:rPr>
            </w:pPr>
            <w:r>
              <w:rPr>
                <w:color w:val="000000"/>
                <w:sz w:val="16"/>
                <w:szCs w:val="16"/>
              </w:rPr>
              <w:t>2</w:t>
            </w:r>
          </w:p>
        </w:tc>
        <w:tc>
          <w:tcPr>
            <w:tcW w:w="4096" w:type="dxa"/>
            <w:tcBorders>
              <w:top w:val="nil"/>
              <w:left w:val="nil"/>
              <w:bottom w:val="single" w:sz="4" w:space="0" w:color="000000"/>
              <w:right w:val="single" w:sz="4" w:space="0" w:color="000000"/>
            </w:tcBorders>
            <w:shd w:val="clear" w:color="auto" w:fill="FFFFFF"/>
            <w:vAlign w:val="center"/>
          </w:tcPr>
          <w:p w14:paraId="01CAF01A" w14:textId="77777777" w:rsidR="00763DF2" w:rsidRDefault="00000000">
            <w:pPr>
              <w:widowControl/>
              <w:rPr>
                <w:color w:val="000000"/>
                <w:sz w:val="16"/>
                <w:szCs w:val="16"/>
              </w:rPr>
            </w:pPr>
            <w:r>
              <w:rPr>
                <w:color w:val="000000"/>
                <w:sz w:val="16"/>
                <w:szCs w:val="16"/>
              </w:rPr>
              <w:t>CR menurun sedikit dan masih belum mencapai standar industri</w:t>
            </w:r>
          </w:p>
        </w:tc>
      </w:tr>
      <w:tr w:rsidR="00763DF2" w14:paraId="4C3C30E5" w14:textId="77777777">
        <w:trPr>
          <w:trHeight w:val="444"/>
          <w:jc w:val="center"/>
        </w:trPr>
        <w:tc>
          <w:tcPr>
            <w:tcW w:w="670" w:type="dxa"/>
            <w:tcBorders>
              <w:top w:val="nil"/>
              <w:left w:val="single" w:sz="4" w:space="0" w:color="000000"/>
              <w:bottom w:val="single" w:sz="4" w:space="0" w:color="000000"/>
              <w:right w:val="single" w:sz="4" w:space="0" w:color="000000"/>
            </w:tcBorders>
            <w:shd w:val="clear" w:color="auto" w:fill="FFFFFF"/>
            <w:vAlign w:val="center"/>
          </w:tcPr>
          <w:p w14:paraId="33C0A6BA" w14:textId="77777777" w:rsidR="00763DF2" w:rsidRDefault="00000000">
            <w:pPr>
              <w:widowControl/>
              <w:jc w:val="center"/>
              <w:rPr>
                <w:color w:val="000000"/>
                <w:sz w:val="16"/>
                <w:szCs w:val="16"/>
              </w:rPr>
            </w:pPr>
            <w:r>
              <w:rPr>
                <w:color w:val="000000"/>
                <w:sz w:val="16"/>
                <w:szCs w:val="16"/>
              </w:rPr>
              <w:t>2023</w:t>
            </w:r>
          </w:p>
        </w:tc>
        <w:tc>
          <w:tcPr>
            <w:tcW w:w="736" w:type="dxa"/>
            <w:tcBorders>
              <w:top w:val="nil"/>
              <w:left w:val="nil"/>
              <w:bottom w:val="single" w:sz="4" w:space="0" w:color="000000"/>
              <w:right w:val="single" w:sz="4" w:space="0" w:color="000000"/>
            </w:tcBorders>
            <w:shd w:val="clear" w:color="auto" w:fill="FFFFFF"/>
            <w:vAlign w:val="center"/>
          </w:tcPr>
          <w:p w14:paraId="00C8FD13" w14:textId="77777777" w:rsidR="00763DF2" w:rsidRDefault="00000000">
            <w:pPr>
              <w:widowControl/>
              <w:jc w:val="center"/>
              <w:rPr>
                <w:color w:val="000000"/>
                <w:sz w:val="16"/>
                <w:szCs w:val="16"/>
              </w:rPr>
            </w:pPr>
            <w:r>
              <w:rPr>
                <w:color w:val="000000"/>
                <w:sz w:val="16"/>
                <w:szCs w:val="16"/>
              </w:rPr>
              <w:t>166,186</w:t>
            </w:r>
          </w:p>
        </w:tc>
        <w:tc>
          <w:tcPr>
            <w:tcW w:w="1010" w:type="dxa"/>
            <w:tcBorders>
              <w:top w:val="nil"/>
              <w:left w:val="nil"/>
              <w:bottom w:val="single" w:sz="4" w:space="0" w:color="000000"/>
              <w:right w:val="single" w:sz="4" w:space="0" w:color="000000"/>
            </w:tcBorders>
            <w:shd w:val="clear" w:color="auto" w:fill="FFFFFF"/>
            <w:vAlign w:val="center"/>
          </w:tcPr>
          <w:p w14:paraId="39A16AAA" w14:textId="77777777" w:rsidR="00763DF2" w:rsidRDefault="00000000">
            <w:pPr>
              <w:widowControl/>
              <w:jc w:val="center"/>
              <w:rPr>
                <w:color w:val="000000"/>
                <w:sz w:val="16"/>
                <w:szCs w:val="16"/>
              </w:rPr>
            </w:pPr>
            <w:r>
              <w:rPr>
                <w:color w:val="000000"/>
                <w:sz w:val="16"/>
                <w:szCs w:val="16"/>
              </w:rPr>
              <w:t>125,022</w:t>
            </w:r>
          </w:p>
        </w:tc>
        <w:tc>
          <w:tcPr>
            <w:tcW w:w="741" w:type="dxa"/>
            <w:tcBorders>
              <w:top w:val="nil"/>
              <w:left w:val="nil"/>
              <w:bottom w:val="single" w:sz="4" w:space="0" w:color="000000"/>
              <w:right w:val="single" w:sz="4" w:space="0" w:color="000000"/>
            </w:tcBorders>
            <w:shd w:val="clear" w:color="auto" w:fill="FFFFFF"/>
            <w:vAlign w:val="center"/>
          </w:tcPr>
          <w:p w14:paraId="0085CE69" w14:textId="77777777" w:rsidR="00763DF2" w:rsidRDefault="00000000">
            <w:pPr>
              <w:widowControl/>
              <w:jc w:val="center"/>
              <w:rPr>
                <w:color w:val="000000"/>
                <w:sz w:val="16"/>
                <w:szCs w:val="16"/>
              </w:rPr>
            </w:pPr>
            <w:r>
              <w:rPr>
                <w:color w:val="000000"/>
                <w:sz w:val="16"/>
                <w:szCs w:val="16"/>
              </w:rPr>
              <w:t>1.33</w:t>
            </w:r>
          </w:p>
        </w:tc>
        <w:tc>
          <w:tcPr>
            <w:tcW w:w="680" w:type="dxa"/>
            <w:tcBorders>
              <w:top w:val="nil"/>
              <w:left w:val="nil"/>
              <w:bottom w:val="single" w:sz="4" w:space="0" w:color="000000"/>
              <w:right w:val="single" w:sz="4" w:space="0" w:color="000000"/>
            </w:tcBorders>
            <w:shd w:val="clear" w:color="auto" w:fill="FFFFFF"/>
            <w:vAlign w:val="center"/>
          </w:tcPr>
          <w:p w14:paraId="284C3823" w14:textId="77777777" w:rsidR="00763DF2" w:rsidRDefault="00000000">
            <w:pPr>
              <w:widowControl/>
              <w:jc w:val="center"/>
              <w:rPr>
                <w:color w:val="000000"/>
                <w:sz w:val="16"/>
                <w:szCs w:val="16"/>
              </w:rPr>
            </w:pPr>
            <w:r>
              <w:rPr>
                <w:color w:val="000000"/>
                <w:sz w:val="16"/>
                <w:szCs w:val="16"/>
              </w:rPr>
              <w:t>2</w:t>
            </w:r>
          </w:p>
        </w:tc>
        <w:tc>
          <w:tcPr>
            <w:tcW w:w="4096" w:type="dxa"/>
            <w:tcBorders>
              <w:top w:val="nil"/>
              <w:left w:val="nil"/>
              <w:bottom w:val="single" w:sz="4" w:space="0" w:color="000000"/>
              <w:right w:val="single" w:sz="4" w:space="0" w:color="000000"/>
            </w:tcBorders>
            <w:shd w:val="clear" w:color="auto" w:fill="FFFFFF"/>
            <w:vAlign w:val="center"/>
          </w:tcPr>
          <w:p w14:paraId="0F124DB7" w14:textId="77777777" w:rsidR="00763DF2" w:rsidRDefault="00000000">
            <w:pPr>
              <w:widowControl/>
              <w:rPr>
                <w:color w:val="000000"/>
                <w:sz w:val="16"/>
                <w:szCs w:val="16"/>
              </w:rPr>
            </w:pPr>
            <w:r>
              <w:rPr>
                <w:color w:val="000000"/>
                <w:sz w:val="16"/>
                <w:szCs w:val="16"/>
              </w:rPr>
              <w:t>CR kembali menurun menunjukkan melemahnya kembali likuiditas</w:t>
            </w:r>
          </w:p>
        </w:tc>
      </w:tr>
    </w:tbl>
    <w:p w14:paraId="3C2CA75B" w14:textId="77777777" w:rsidR="00763DF2" w:rsidRDefault="00763DF2">
      <w:pPr>
        <w:pBdr>
          <w:top w:val="nil"/>
          <w:left w:val="nil"/>
          <w:bottom w:val="nil"/>
          <w:right w:val="nil"/>
          <w:between w:val="nil"/>
        </w:pBdr>
        <w:spacing w:before="30" w:line="276" w:lineRule="auto"/>
        <w:ind w:left="105" w:right="25" w:firstLine="36"/>
        <w:rPr>
          <w:color w:val="000000"/>
          <w:sz w:val="24"/>
          <w:szCs w:val="24"/>
        </w:rPr>
      </w:pPr>
    </w:p>
    <w:p w14:paraId="181D2E45" w14:textId="77777777" w:rsidR="00763DF2" w:rsidRDefault="00000000">
      <w:pPr>
        <w:pBdr>
          <w:top w:val="nil"/>
          <w:left w:val="nil"/>
          <w:bottom w:val="nil"/>
          <w:right w:val="nil"/>
          <w:between w:val="nil"/>
        </w:pBdr>
        <w:spacing w:before="30" w:line="276" w:lineRule="auto"/>
        <w:ind w:left="105" w:right="25" w:firstLine="36"/>
        <w:jc w:val="center"/>
        <w:rPr>
          <w:color w:val="000000"/>
          <w:sz w:val="24"/>
          <w:szCs w:val="24"/>
        </w:rPr>
      </w:pPr>
      <w:r>
        <w:rPr>
          <w:noProof/>
          <w:color w:val="000000"/>
          <w:sz w:val="24"/>
          <w:szCs w:val="24"/>
        </w:rPr>
        <w:drawing>
          <wp:inline distT="0" distB="0" distL="0" distR="0" wp14:anchorId="0298A01D" wp14:editId="3443384D">
            <wp:extent cx="4476750" cy="1790700"/>
            <wp:effectExtent l="0" t="0" r="0" b="0"/>
            <wp:docPr id="2129091370" name="Chart 2129091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84C93C" w14:textId="77777777" w:rsidR="00763DF2" w:rsidRDefault="00000000">
      <w:pPr>
        <w:pBdr>
          <w:top w:val="nil"/>
          <w:left w:val="nil"/>
          <w:bottom w:val="nil"/>
          <w:right w:val="nil"/>
          <w:between w:val="nil"/>
        </w:pBdr>
        <w:spacing w:before="30" w:line="276" w:lineRule="auto"/>
        <w:ind w:right="25"/>
        <w:jc w:val="center"/>
        <w:rPr>
          <w:color w:val="000000"/>
          <w:sz w:val="24"/>
          <w:szCs w:val="24"/>
        </w:rPr>
      </w:pPr>
      <w:r>
        <w:rPr>
          <w:b/>
          <w:bCs/>
          <w:color w:val="000000"/>
          <w:sz w:val="24"/>
          <w:szCs w:val="24"/>
        </w:rPr>
        <w:t>Grafik 2.</w:t>
      </w:r>
      <w:r>
        <w:rPr>
          <w:color w:val="000000"/>
          <w:sz w:val="24"/>
          <w:szCs w:val="24"/>
        </w:rPr>
        <w:t xml:space="preserve"> </w:t>
      </w:r>
      <w:r>
        <w:rPr>
          <w:b/>
          <w:bCs/>
          <w:color w:val="000000"/>
          <w:sz w:val="24"/>
          <w:szCs w:val="24"/>
        </w:rPr>
        <w:t>Hasil Analisis Trend Rasio Likuiditas PT. Astra International Tbk</w:t>
      </w:r>
    </w:p>
    <w:p w14:paraId="2B28D72B" w14:textId="77777777" w:rsidR="00763DF2" w:rsidRDefault="00000000">
      <w:pPr>
        <w:pBdr>
          <w:top w:val="nil"/>
          <w:left w:val="nil"/>
          <w:bottom w:val="nil"/>
          <w:right w:val="nil"/>
          <w:between w:val="nil"/>
        </w:pBdr>
        <w:ind w:right="25" w:firstLine="673"/>
        <w:jc w:val="both"/>
        <w:rPr>
          <w:color w:val="000000"/>
          <w:sz w:val="24"/>
          <w:szCs w:val="24"/>
        </w:rPr>
      </w:pPr>
      <w:r>
        <w:rPr>
          <w:color w:val="000000"/>
          <w:sz w:val="24"/>
          <w:szCs w:val="24"/>
        </w:rPr>
        <w:t>Hasil penelitian menunjukkan bahwa likuiditas PT Astra International Tbk dari 2018–2023 berada di bawah standar industri (2), namun masih dalam kondisi aman dan sehat karena CR tidak pernah turun di bawah 1,0. Dari tabel dan grafik diatas dapat dijelaskan :</w:t>
      </w:r>
    </w:p>
    <w:p w14:paraId="58D35454" w14:textId="77777777" w:rsidR="00763DF2" w:rsidRDefault="00000000">
      <w:pPr>
        <w:numPr>
          <w:ilvl w:val="0"/>
          <w:numId w:val="2"/>
        </w:numPr>
        <w:pBdr>
          <w:top w:val="nil"/>
          <w:left w:val="nil"/>
          <w:bottom w:val="nil"/>
          <w:right w:val="nil"/>
          <w:between w:val="nil"/>
        </w:pBdr>
        <w:ind w:left="426" w:right="25"/>
        <w:jc w:val="both"/>
        <w:rPr>
          <w:color w:val="000000"/>
          <w:sz w:val="24"/>
          <w:szCs w:val="24"/>
        </w:rPr>
      </w:pPr>
      <w:r>
        <w:rPr>
          <w:color w:val="000000"/>
          <w:sz w:val="24"/>
          <w:szCs w:val="24"/>
        </w:rPr>
        <w:t>Selama 2018–2019 (Sebelum Pandemi)</w:t>
      </w:r>
    </w:p>
    <w:p w14:paraId="3E56EDD6" w14:textId="77777777" w:rsidR="00763DF2" w:rsidRDefault="00000000">
      <w:pPr>
        <w:pBdr>
          <w:top w:val="nil"/>
          <w:left w:val="nil"/>
          <w:bottom w:val="nil"/>
          <w:right w:val="nil"/>
          <w:between w:val="nil"/>
        </w:pBdr>
        <w:ind w:left="426" w:right="25"/>
        <w:jc w:val="both"/>
        <w:rPr>
          <w:color w:val="000000"/>
          <w:sz w:val="24"/>
          <w:szCs w:val="24"/>
        </w:rPr>
      </w:pPr>
      <w:r>
        <w:rPr>
          <w:color w:val="000000"/>
          <w:sz w:val="24"/>
          <w:szCs w:val="24"/>
        </w:rPr>
        <w:t>CR berada pada kisaran 1,13–1,29, artinya jumlah aset lancar sebanyak 1,13 -1,29 kali liabilitas lancar, atau setiap 1 rupiah liabilitas lancar dijamin oleh Rp 1,13-1,29 aset lancar. Hal ini menandakan bahwa kemampuan Astra memenuhi kewajiban jangka pendek masih tergolong cukup, namun belum ideal. Ini mengindikasikan bahwa komposisi aset lancar yang dimiliki hanya impas saja untuk melunasi liabilitas lancar yang harus dipenuhi.</w:t>
      </w:r>
    </w:p>
    <w:p w14:paraId="27EF03FC" w14:textId="77777777" w:rsidR="00763DF2" w:rsidRDefault="00000000">
      <w:pPr>
        <w:numPr>
          <w:ilvl w:val="0"/>
          <w:numId w:val="2"/>
        </w:numPr>
        <w:pBdr>
          <w:top w:val="nil"/>
          <w:left w:val="nil"/>
          <w:bottom w:val="nil"/>
          <w:right w:val="nil"/>
          <w:between w:val="nil"/>
        </w:pBdr>
        <w:ind w:left="426" w:right="25"/>
        <w:jc w:val="both"/>
        <w:rPr>
          <w:color w:val="000000"/>
          <w:sz w:val="24"/>
          <w:szCs w:val="24"/>
        </w:rPr>
      </w:pPr>
      <w:r>
        <w:rPr>
          <w:color w:val="000000"/>
          <w:sz w:val="24"/>
          <w:szCs w:val="24"/>
        </w:rPr>
        <w:t>Tahun 2020–2021 (Saat Pandemi COVID-19)</w:t>
      </w:r>
    </w:p>
    <w:p w14:paraId="17789AD7" w14:textId="77777777" w:rsidR="00763DF2" w:rsidRDefault="00000000">
      <w:pPr>
        <w:pBdr>
          <w:top w:val="nil"/>
          <w:left w:val="nil"/>
          <w:bottom w:val="nil"/>
          <w:right w:val="nil"/>
          <w:between w:val="nil"/>
        </w:pBdr>
        <w:ind w:left="426" w:right="25"/>
        <w:jc w:val="both"/>
        <w:rPr>
          <w:color w:val="000000"/>
          <w:sz w:val="24"/>
          <w:szCs w:val="24"/>
        </w:rPr>
      </w:pPr>
      <w:r>
        <w:rPr>
          <w:color w:val="000000"/>
          <w:sz w:val="24"/>
          <w:szCs w:val="24"/>
        </w:rPr>
        <w:t xml:space="preserve">CR meningkat menjadi 1,54, artinya jumlah aset lancar sebanyak 1,54 kali liabilitas lancar, atau setiap 1 rupiah liabilitas lancar dijamin oleh Rp 1,54 aset lancar. Hal ini menandakan bahwa kemampuan likuiditas membaik. Peningkatan ini bukan karena penjualan naik, tetapi karena </w:t>
      </w:r>
      <w:r>
        <w:rPr>
          <w:color w:val="000000"/>
          <w:sz w:val="24"/>
          <w:szCs w:val="24"/>
        </w:rPr>
        <w:lastRenderedPageBreak/>
        <w:t>aktivitas bisnis menurun, sehingga kas dan aset lancar tidak banyak digunakan. Dengan kata lain, kenaikan CR ini bersifat defensif, bukan karena efisiensi operasional.</w:t>
      </w:r>
    </w:p>
    <w:p w14:paraId="08D8D7BE" w14:textId="77777777" w:rsidR="00763DF2" w:rsidRDefault="00000000">
      <w:pPr>
        <w:numPr>
          <w:ilvl w:val="0"/>
          <w:numId w:val="2"/>
        </w:numPr>
        <w:pBdr>
          <w:top w:val="nil"/>
          <w:left w:val="nil"/>
          <w:bottom w:val="nil"/>
          <w:right w:val="nil"/>
          <w:between w:val="nil"/>
        </w:pBdr>
        <w:ind w:left="432" w:right="29"/>
        <w:jc w:val="both"/>
        <w:rPr>
          <w:color w:val="000000"/>
          <w:sz w:val="24"/>
          <w:szCs w:val="24"/>
        </w:rPr>
      </w:pPr>
      <w:r>
        <w:rPr>
          <w:color w:val="000000"/>
          <w:sz w:val="24"/>
          <w:szCs w:val="24"/>
        </w:rPr>
        <w:t>Tahun 2022–2023 (Pasca Pandemi)</w:t>
      </w:r>
    </w:p>
    <w:p w14:paraId="01D938E4" w14:textId="77777777" w:rsidR="00763DF2" w:rsidRDefault="00000000">
      <w:pPr>
        <w:pBdr>
          <w:top w:val="nil"/>
          <w:left w:val="nil"/>
          <w:bottom w:val="nil"/>
          <w:right w:val="nil"/>
          <w:between w:val="nil"/>
        </w:pBdr>
        <w:ind w:left="432" w:right="29"/>
        <w:jc w:val="both"/>
        <w:rPr>
          <w:color w:val="000000"/>
          <w:sz w:val="24"/>
          <w:szCs w:val="24"/>
        </w:rPr>
      </w:pPr>
      <w:r>
        <w:rPr>
          <w:color w:val="000000"/>
          <w:sz w:val="24"/>
          <w:szCs w:val="24"/>
        </w:rPr>
        <w:t xml:space="preserve">CR mulai menurun kembali menjadi 1,33 pada 2023, artinya jumlah aset lancar sebanyak 1,33 kali liabilitas lancar, atau setiap 1 rupiah liabilitas lancar dijamin oleh Rp 1,33 aset lancar. Hal ini menandakan perusahaan mulai mengoptimalkan aset lancar untuk mendukung kegiatan operasional yang meningkat. Meskipun masih di bawah standar industri, nilai ini menunjukkan manajemen yang efisien, karena dana tidak menganggur terlalu banyak. </w:t>
      </w:r>
    </w:p>
    <w:p w14:paraId="05684465" w14:textId="77777777" w:rsidR="00763DF2" w:rsidRDefault="00763DF2">
      <w:pPr>
        <w:pBdr>
          <w:top w:val="nil"/>
          <w:left w:val="nil"/>
          <w:bottom w:val="nil"/>
          <w:right w:val="nil"/>
          <w:between w:val="nil"/>
        </w:pBdr>
        <w:ind w:right="29"/>
        <w:jc w:val="both"/>
        <w:rPr>
          <w:color w:val="000000"/>
          <w:sz w:val="24"/>
          <w:szCs w:val="24"/>
        </w:rPr>
      </w:pPr>
    </w:p>
    <w:p w14:paraId="0C1487B3" w14:textId="77777777" w:rsidR="00763DF2" w:rsidRDefault="00000000">
      <w:pPr>
        <w:pBdr>
          <w:top w:val="nil"/>
          <w:left w:val="nil"/>
          <w:bottom w:val="nil"/>
          <w:right w:val="nil"/>
          <w:between w:val="nil"/>
        </w:pBdr>
        <w:spacing w:before="30" w:line="276" w:lineRule="auto"/>
        <w:ind w:right="25"/>
        <w:jc w:val="center"/>
        <w:rPr>
          <w:color w:val="000000"/>
          <w:sz w:val="24"/>
          <w:szCs w:val="24"/>
        </w:rPr>
      </w:pPr>
      <w:r>
        <w:rPr>
          <w:b/>
          <w:bCs/>
          <w:color w:val="000000"/>
          <w:sz w:val="24"/>
          <w:szCs w:val="24"/>
        </w:rPr>
        <w:t>Tabel 3.</w:t>
      </w:r>
      <w:r>
        <w:rPr>
          <w:color w:val="000000"/>
          <w:sz w:val="24"/>
          <w:szCs w:val="24"/>
        </w:rPr>
        <w:t xml:space="preserve"> </w:t>
      </w:r>
      <w:r>
        <w:rPr>
          <w:b/>
          <w:bCs/>
          <w:color w:val="000000"/>
          <w:sz w:val="24"/>
          <w:szCs w:val="24"/>
        </w:rPr>
        <w:t>Hasil Perhitungan Rasio Solvabilitas PT. Astra International Tbk</w:t>
      </w:r>
    </w:p>
    <w:tbl>
      <w:tblPr>
        <w:tblStyle w:val="a4"/>
        <w:tblW w:w="8082" w:type="dxa"/>
        <w:jc w:val="center"/>
        <w:tblLayout w:type="fixed"/>
        <w:tblLook w:val="0400" w:firstRow="0" w:lastRow="0" w:firstColumn="0" w:lastColumn="0" w:noHBand="0" w:noVBand="1"/>
      </w:tblPr>
      <w:tblGrid>
        <w:gridCol w:w="670"/>
        <w:gridCol w:w="1168"/>
        <w:gridCol w:w="1010"/>
        <w:gridCol w:w="679"/>
        <w:gridCol w:w="679"/>
        <w:gridCol w:w="3876"/>
      </w:tblGrid>
      <w:tr w:rsidR="00763DF2" w14:paraId="530396AA" w14:textId="77777777">
        <w:trPr>
          <w:trHeight w:val="684"/>
          <w:jc w:val="center"/>
        </w:trPr>
        <w:tc>
          <w:tcPr>
            <w:tcW w:w="670" w:type="dxa"/>
            <w:tcBorders>
              <w:top w:val="single" w:sz="4" w:space="0" w:color="000000"/>
              <w:left w:val="single" w:sz="4" w:space="0" w:color="000000"/>
              <w:bottom w:val="nil"/>
              <w:right w:val="single" w:sz="4" w:space="0" w:color="000000"/>
            </w:tcBorders>
            <w:shd w:val="clear" w:color="auto" w:fill="D9D9D9"/>
            <w:vAlign w:val="center"/>
          </w:tcPr>
          <w:p w14:paraId="0AA6A08F" w14:textId="77777777" w:rsidR="00763DF2" w:rsidRDefault="00000000">
            <w:pPr>
              <w:widowControl/>
              <w:jc w:val="center"/>
              <w:rPr>
                <w:b/>
                <w:bCs/>
                <w:color w:val="000000"/>
                <w:sz w:val="16"/>
                <w:szCs w:val="16"/>
              </w:rPr>
            </w:pPr>
            <w:r>
              <w:rPr>
                <w:b/>
                <w:bCs/>
                <w:color w:val="000000"/>
                <w:sz w:val="16"/>
                <w:szCs w:val="16"/>
              </w:rPr>
              <w:t>Tahun</w:t>
            </w:r>
          </w:p>
        </w:tc>
        <w:tc>
          <w:tcPr>
            <w:tcW w:w="1168" w:type="dxa"/>
            <w:tcBorders>
              <w:top w:val="single" w:sz="4" w:space="0" w:color="000000"/>
              <w:left w:val="nil"/>
              <w:bottom w:val="single" w:sz="4" w:space="0" w:color="000000"/>
              <w:right w:val="single" w:sz="4" w:space="0" w:color="000000"/>
            </w:tcBorders>
            <w:shd w:val="clear" w:color="auto" w:fill="D9D9D9"/>
            <w:vAlign w:val="center"/>
          </w:tcPr>
          <w:p w14:paraId="356A3D8F" w14:textId="77777777" w:rsidR="00763DF2" w:rsidRDefault="00000000">
            <w:pPr>
              <w:widowControl/>
              <w:jc w:val="center"/>
              <w:rPr>
                <w:b/>
                <w:bCs/>
                <w:color w:val="000000"/>
                <w:sz w:val="16"/>
                <w:szCs w:val="16"/>
              </w:rPr>
            </w:pPr>
            <w:r>
              <w:rPr>
                <w:b/>
                <w:bCs/>
                <w:color w:val="000000"/>
                <w:sz w:val="16"/>
                <w:szCs w:val="16"/>
              </w:rPr>
              <w:t>Total Utang</w:t>
            </w:r>
          </w:p>
        </w:tc>
        <w:tc>
          <w:tcPr>
            <w:tcW w:w="1010" w:type="dxa"/>
            <w:tcBorders>
              <w:top w:val="single" w:sz="4" w:space="0" w:color="000000"/>
              <w:left w:val="nil"/>
              <w:bottom w:val="single" w:sz="4" w:space="0" w:color="000000"/>
              <w:right w:val="single" w:sz="4" w:space="0" w:color="000000"/>
            </w:tcBorders>
            <w:shd w:val="clear" w:color="auto" w:fill="D9D9D9"/>
            <w:vAlign w:val="center"/>
          </w:tcPr>
          <w:p w14:paraId="47C85EF2" w14:textId="77777777" w:rsidR="00763DF2" w:rsidRDefault="00000000">
            <w:pPr>
              <w:widowControl/>
              <w:jc w:val="center"/>
              <w:rPr>
                <w:b/>
                <w:bCs/>
                <w:color w:val="000000"/>
                <w:sz w:val="16"/>
                <w:szCs w:val="16"/>
              </w:rPr>
            </w:pPr>
            <w:r>
              <w:rPr>
                <w:b/>
                <w:bCs/>
                <w:color w:val="000000"/>
                <w:sz w:val="16"/>
                <w:szCs w:val="16"/>
              </w:rPr>
              <w:t>Total Aset</w:t>
            </w:r>
          </w:p>
        </w:tc>
        <w:tc>
          <w:tcPr>
            <w:tcW w:w="679" w:type="dxa"/>
            <w:tcBorders>
              <w:top w:val="single" w:sz="4" w:space="0" w:color="000000"/>
              <w:left w:val="nil"/>
              <w:bottom w:val="single" w:sz="4" w:space="0" w:color="000000"/>
              <w:right w:val="single" w:sz="4" w:space="0" w:color="000000"/>
            </w:tcBorders>
            <w:shd w:val="clear" w:color="auto" w:fill="D9D9D9"/>
            <w:vAlign w:val="center"/>
          </w:tcPr>
          <w:p w14:paraId="6CEF49D2" w14:textId="77777777" w:rsidR="00763DF2" w:rsidRDefault="00000000">
            <w:pPr>
              <w:widowControl/>
              <w:jc w:val="center"/>
              <w:rPr>
                <w:b/>
                <w:bCs/>
                <w:i/>
                <w:iCs/>
                <w:color w:val="000000"/>
                <w:sz w:val="16"/>
                <w:szCs w:val="16"/>
              </w:rPr>
            </w:pPr>
            <w:r>
              <w:rPr>
                <w:b/>
                <w:bCs/>
                <w:i/>
                <w:iCs/>
                <w:color w:val="000000"/>
                <w:sz w:val="16"/>
                <w:szCs w:val="16"/>
              </w:rPr>
              <w:t>DAR</w:t>
            </w:r>
          </w:p>
        </w:tc>
        <w:tc>
          <w:tcPr>
            <w:tcW w:w="679" w:type="dxa"/>
            <w:tcBorders>
              <w:top w:val="single" w:sz="4" w:space="0" w:color="000000"/>
              <w:left w:val="nil"/>
              <w:bottom w:val="single" w:sz="4" w:space="0" w:color="000000"/>
              <w:right w:val="single" w:sz="4" w:space="0" w:color="000000"/>
            </w:tcBorders>
            <w:shd w:val="clear" w:color="auto" w:fill="D9D9D9"/>
            <w:vAlign w:val="center"/>
          </w:tcPr>
          <w:p w14:paraId="32EFEA50" w14:textId="77777777" w:rsidR="00763DF2" w:rsidRDefault="00000000">
            <w:pPr>
              <w:widowControl/>
              <w:jc w:val="center"/>
              <w:rPr>
                <w:b/>
                <w:bCs/>
                <w:color w:val="000000"/>
                <w:sz w:val="16"/>
                <w:szCs w:val="16"/>
              </w:rPr>
            </w:pPr>
            <w:r>
              <w:rPr>
                <w:b/>
                <w:bCs/>
                <w:color w:val="000000"/>
                <w:sz w:val="16"/>
                <w:szCs w:val="16"/>
              </w:rPr>
              <w:t>Nilai Ideal</w:t>
            </w:r>
          </w:p>
        </w:tc>
        <w:tc>
          <w:tcPr>
            <w:tcW w:w="3876" w:type="dxa"/>
            <w:tcBorders>
              <w:top w:val="single" w:sz="4" w:space="0" w:color="000000"/>
              <w:left w:val="nil"/>
              <w:bottom w:val="single" w:sz="4" w:space="0" w:color="000000"/>
              <w:right w:val="single" w:sz="4" w:space="0" w:color="000000"/>
            </w:tcBorders>
            <w:shd w:val="clear" w:color="auto" w:fill="D9D9D9"/>
            <w:vAlign w:val="center"/>
          </w:tcPr>
          <w:p w14:paraId="38FCBDA1" w14:textId="77777777" w:rsidR="00763DF2" w:rsidRDefault="00000000">
            <w:pPr>
              <w:widowControl/>
              <w:jc w:val="center"/>
              <w:rPr>
                <w:b/>
                <w:bCs/>
                <w:color w:val="000000"/>
                <w:sz w:val="16"/>
                <w:szCs w:val="16"/>
              </w:rPr>
            </w:pPr>
            <w:r>
              <w:rPr>
                <w:b/>
                <w:bCs/>
                <w:color w:val="000000"/>
                <w:sz w:val="16"/>
                <w:szCs w:val="16"/>
              </w:rPr>
              <w:t>Interpretasi</w:t>
            </w:r>
          </w:p>
        </w:tc>
      </w:tr>
      <w:tr w:rsidR="00763DF2" w14:paraId="594D373D" w14:textId="77777777">
        <w:trPr>
          <w:trHeight w:val="456"/>
          <w:jc w:val="center"/>
        </w:trPr>
        <w:tc>
          <w:tcPr>
            <w:tcW w:w="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B7D50B" w14:textId="77777777" w:rsidR="00763DF2" w:rsidRDefault="00000000">
            <w:pPr>
              <w:widowControl/>
              <w:jc w:val="center"/>
              <w:rPr>
                <w:color w:val="000000"/>
                <w:sz w:val="16"/>
                <w:szCs w:val="16"/>
              </w:rPr>
            </w:pPr>
            <w:r>
              <w:rPr>
                <w:color w:val="000000"/>
                <w:sz w:val="16"/>
                <w:szCs w:val="16"/>
              </w:rPr>
              <w:t>2018</w:t>
            </w:r>
          </w:p>
        </w:tc>
        <w:tc>
          <w:tcPr>
            <w:tcW w:w="1168" w:type="dxa"/>
            <w:tcBorders>
              <w:top w:val="nil"/>
              <w:left w:val="nil"/>
              <w:bottom w:val="single" w:sz="4" w:space="0" w:color="000000"/>
              <w:right w:val="single" w:sz="4" w:space="0" w:color="000000"/>
            </w:tcBorders>
            <w:shd w:val="clear" w:color="auto" w:fill="FFFFFF"/>
            <w:vAlign w:val="center"/>
          </w:tcPr>
          <w:p w14:paraId="6674E64E" w14:textId="77777777" w:rsidR="00763DF2" w:rsidRDefault="00000000">
            <w:pPr>
              <w:widowControl/>
              <w:jc w:val="center"/>
              <w:rPr>
                <w:color w:val="000000"/>
                <w:sz w:val="16"/>
                <w:szCs w:val="16"/>
              </w:rPr>
            </w:pPr>
            <w:r>
              <w:rPr>
                <w:color w:val="000000"/>
                <w:sz w:val="16"/>
                <w:szCs w:val="16"/>
              </w:rPr>
              <w:t>170,348</w:t>
            </w:r>
          </w:p>
        </w:tc>
        <w:tc>
          <w:tcPr>
            <w:tcW w:w="1010" w:type="dxa"/>
            <w:tcBorders>
              <w:top w:val="nil"/>
              <w:left w:val="nil"/>
              <w:bottom w:val="single" w:sz="4" w:space="0" w:color="000000"/>
              <w:right w:val="single" w:sz="4" w:space="0" w:color="000000"/>
            </w:tcBorders>
            <w:shd w:val="clear" w:color="auto" w:fill="FFFFFF"/>
            <w:vAlign w:val="center"/>
          </w:tcPr>
          <w:p w14:paraId="2DB419FA" w14:textId="77777777" w:rsidR="00763DF2" w:rsidRDefault="00000000">
            <w:pPr>
              <w:widowControl/>
              <w:jc w:val="center"/>
              <w:rPr>
                <w:color w:val="000000"/>
                <w:sz w:val="16"/>
                <w:szCs w:val="16"/>
              </w:rPr>
            </w:pPr>
            <w:r>
              <w:rPr>
                <w:color w:val="000000"/>
                <w:sz w:val="16"/>
                <w:szCs w:val="16"/>
              </w:rPr>
              <w:t>344,711</w:t>
            </w:r>
          </w:p>
        </w:tc>
        <w:tc>
          <w:tcPr>
            <w:tcW w:w="679" w:type="dxa"/>
            <w:tcBorders>
              <w:top w:val="nil"/>
              <w:left w:val="nil"/>
              <w:bottom w:val="single" w:sz="4" w:space="0" w:color="000000"/>
              <w:right w:val="single" w:sz="4" w:space="0" w:color="000000"/>
            </w:tcBorders>
            <w:shd w:val="clear" w:color="auto" w:fill="FFFFFF"/>
            <w:vAlign w:val="center"/>
          </w:tcPr>
          <w:p w14:paraId="715544EA" w14:textId="77777777" w:rsidR="00763DF2" w:rsidRDefault="00000000">
            <w:pPr>
              <w:widowControl/>
              <w:jc w:val="center"/>
              <w:rPr>
                <w:color w:val="000000"/>
                <w:sz w:val="16"/>
                <w:szCs w:val="16"/>
              </w:rPr>
            </w:pPr>
            <w:r>
              <w:rPr>
                <w:color w:val="000000"/>
                <w:sz w:val="16"/>
                <w:szCs w:val="16"/>
              </w:rPr>
              <w:t>49%</w:t>
            </w:r>
          </w:p>
        </w:tc>
        <w:tc>
          <w:tcPr>
            <w:tcW w:w="679" w:type="dxa"/>
            <w:tcBorders>
              <w:top w:val="nil"/>
              <w:left w:val="nil"/>
              <w:bottom w:val="single" w:sz="4" w:space="0" w:color="000000"/>
              <w:right w:val="single" w:sz="4" w:space="0" w:color="000000"/>
            </w:tcBorders>
            <w:shd w:val="clear" w:color="auto" w:fill="FFFFFF"/>
            <w:vAlign w:val="center"/>
          </w:tcPr>
          <w:p w14:paraId="6F41AE94" w14:textId="77777777" w:rsidR="00763DF2" w:rsidRDefault="00000000">
            <w:pPr>
              <w:widowControl/>
              <w:jc w:val="center"/>
              <w:rPr>
                <w:color w:val="000000"/>
                <w:sz w:val="16"/>
                <w:szCs w:val="16"/>
              </w:rPr>
            </w:pPr>
            <w:sdt>
              <w:sdtPr>
                <w:tag w:val="goog_rdk_1"/>
                <w:id w:val="-1000692296"/>
              </w:sdtPr>
              <w:sdtContent>
                <w:r>
                  <w:rPr>
                    <w:rFonts w:ascii="Gungsuh" w:eastAsia="Gungsuh" w:hAnsi="Gungsuh" w:cs="Gungsuh"/>
                    <w:color w:val="000000"/>
                    <w:sz w:val="16"/>
                    <w:szCs w:val="16"/>
                  </w:rPr>
                  <w:t>≤ 60%</w:t>
                </w:r>
              </w:sdtContent>
            </w:sdt>
          </w:p>
        </w:tc>
        <w:tc>
          <w:tcPr>
            <w:tcW w:w="3876" w:type="dxa"/>
            <w:tcBorders>
              <w:top w:val="nil"/>
              <w:left w:val="nil"/>
              <w:bottom w:val="single" w:sz="4" w:space="0" w:color="000000"/>
              <w:right w:val="single" w:sz="4" w:space="0" w:color="000000"/>
            </w:tcBorders>
            <w:shd w:val="clear" w:color="auto" w:fill="FFFFFF"/>
            <w:vAlign w:val="center"/>
          </w:tcPr>
          <w:p w14:paraId="45D3616C" w14:textId="77777777" w:rsidR="00763DF2" w:rsidRDefault="00000000">
            <w:pPr>
              <w:widowControl/>
              <w:rPr>
                <w:color w:val="000000"/>
                <w:sz w:val="16"/>
                <w:szCs w:val="16"/>
              </w:rPr>
            </w:pPr>
            <w:r>
              <w:rPr>
                <w:color w:val="000000"/>
                <w:sz w:val="16"/>
                <w:szCs w:val="16"/>
              </w:rPr>
              <w:t>Struktur permodalan cukup sehat</w:t>
            </w:r>
          </w:p>
        </w:tc>
      </w:tr>
      <w:tr w:rsidR="00763DF2" w14:paraId="00CB3972" w14:textId="77777777">
        <w:trPr>
          <w:trHeight w:val="456"/>
          <w:jc w:val="center"/>
        </w:trPr>
        <w:tc>
          <w:tcPr>
            <w:tcW w:w="670" w:type="dxa"/>
            <w:tcBorders>
              <w:top w:val="nil"/>
              <w:left w:val="single" w:sz="4" w:space="0" w:color="000000"/>
              <w:bottom w:val="single" w:sz="4" w:space="0" w:color="000000"/>
              <w:right w:val="single" w:sz="4" w:space="0" w:color="000000"/>
            </w:tcBorders>
            <w:shd w:val="clear" w:color="auto" w:fill="FFFFFF"/>
            <w:vAlign w:val="center"/>
          </w:tcPr>
          <w:p w14:paraId="024CF22F" w14:textId="77777777" w:rsidR="00763DF2" w:rsidRDefault="00000000">
            <w:pPr>
              <w:widowControl/>
              <w:jc w:val="center"/>
              <w:rPr>
                <w:color w:val="000000"/>
                <w:sz w:val="16"/>
                <w:szCs w:val="16"/>
              </w:rPr>
            </w:pPr>
            <w:r>
              <w:rPr>
                <w:color w:val="000000"/>
                <w:sz w:val="16"/>
                <w:szCs w:val="16"/>
              </w:rPr>
              <w:t>2019</w:t>
            </w:r>
          </w:p>
        </w:tc>
        <w:tc>
          <w:tcPr>
            <w:tcW w:w="1168" w:type="dxa"/>
            <w:tcBorders>
              <w:top w:val="nil"/>
              <w:left w:val="nil"/>
              <w:bottom w:val="single" w:sz="4" w:space="0" w:color="000000"/>
              <w:right w:val="single" w:sz="4" w:space="0" w:color="000000"/>
            </w:tcBorders>
            <w:shd w:val="clear" w:color="auto" w:fill="FFFFFF"/>
            <w:vAlign w:val="center"/>
          </w:tcPr>
          <w:p w14:paraId="5CF3B270" w14:textId="77777777" w:rsidR="00763DF2" w:rsidRDefault="00000000">
            <w:pPr>
              <w:widowControl/>
              <w:jc w:val="center"/>
              <w:rPr>
                <w:color w:val="000000"/>
                <w:sz w:val="16"/>
                <w:szCs w:val="16"/>
              </w:rPr>
            </w:pPr>
            <w:r>
              <w:rPr>
                <w:color w:val="000000"/>
                <w:sz w:val="16"/>
                <w:szCs w:val="16"/>
              </w:rPr>
              <w:t>165,195</w:t>
            </w:r>
          </w:p>
        </w:tc>
        <w:tc>
          <w:tcPr>
            <w:tcW w:w="1010" w:type="dxa"/>
            <w:tcBorders>
              <w:top w:val="nil"/>
              <w:left w:val="nil"/>
              <w:bottom w:val="single" w:sz="4" w:space="0" w:color="000000"/>
              <w:right w:val="single" w:sz="4" w:space="0" w:color="000000"/>
            </w:tcBorders>
            <w:shd w:val="clear" w:color="auto" w:fill="FFFFFF"/>
            <w:vAlign w:val="center"/>
          </w:tcPr>
          <w:p w14:paraId="0C1169D4" w14:textId="77777777" w:rsidR="00763DF2" w:rsidRDefault="00000000">
            <w:pPr>
              <w:widowControl/>
              <w:jc w:val="center"/>
              <w:rPr>
                <w:color w:val="000000"/>
                <w:sz w:val="16"/>
                <w:szCs w:val="16"/>
              </w:rPr>
            </w:pPr>
            <w:r>
              <w:rPr>
                <w:color w:val="000000"/>
                <w:sz w:val="16"/>
                <w:szCs w:val="16"/>
              </w:rPr>
              <w:t>351,958</w:t>
            </w:r>
          </w:p>
        </w:tc>
        <w:tc>
          <w:tcPr>
            <w:tcW w:w="679" w:type="dxa"/>
            <w:tcBorders>
              <w:top w:val="nil"/>
              <w:left w:val="nil"/>
              <w:bottom w:val="single" w:sz="4" w:space="0" w:color="000000"/>
              <w:right w:val="single" w:sz="4" w:space="0" w:color="000000"/>
            </w:tcBorders>
            <w:shd w:val="clear" w:color="auto" w:fill="FFFFFF"/>
            <w:vAlign w:val="center"/>
          </w:tcPr>
          <w:p w14:paraId="1315AD28" w14:textId="77777777" w:rsidR="00763DF2" w:rsidRDefault="00000000">
            <w:pPr>
              <w:widowControl/>
              <w:jc w:val="center"/>
              <w:rPr>
                <w:color w:val="000000"/>
                <w:sz w:val="16"/>
                <w:szCs w:val="16"/>
              </w:rPr>
            </w:pPr>
            <w:r>
              <w:rPr>
                <w:color w:val="000000"/>
                <w:sz w:val="16"/>
                <w:szCs w:val="16"/>
              </w:rPr>
              <w:t>47%</w:t>
            </w:r>
          </w:p>
        </w:tc>
        <w:tc>
          <w:tcPr>
            <w:tcW w:w="679" w:type="dxa"/>
            <w:tcBorders>
              <w:top w:val="nil"/>
              <w:left w:val="nil"/>
              <w:bottom w:val="single" w:sz="4" w:space="0" w:color="000000"/>
              <w:right w:val="single" w:sz="4" w:space="0" w:color="000000"/>
            </w:tcBorders>
            <w:shd w:val="clear" w:color="auto" w:fill="FFFFFF"/>
            <w:vAlign w:val="center"/>
          </w:tcPr>
          <w:p w14:paraId="41A0816B" w14:textId="77777777" w:rsidR="00763DF2" w:rsidRDefault="00000000">
            <w:pPr>
              <w:widowControl/>
              <w:jc w:val="center"/>
              <w:rPr>
                <w:color w:val="000000"/>
                <w:sz w:val="16"/>
                <w:szCs w:val="16"/>
              </w:rPr>
            </w:pPr>
            <w:sdt>
              <w:sdtPr>
                <w:tag w:val="goog_rdk_2"/>
                <w:id w:val="-867110603"/>
              </w:sdtPr>
              <w:sdtContent>
                <w:r>
                  <w:rPr>
                    <w:rFonts w:ascii="Gungsuh" w:eastAsia="Gungsuh" w:hAnsi="Gungsuh" w:cs="Gungsuh"/>
                    <w:color w:val="000000"/>
                    <w:sz w:val="16"/>
                    <w:szCs w:val="16"/>
                  </w:rPr>
                  <w:t>≤ 60%</w:t>
                </w:r>
              </w:sdtContent>
            </w:sdt>
          </w:p>
        </w:tc>
        <w:tc>
          <w:tcPr>
            <w:tcW w:w="3876" w:type="dxa"/>
            <w:tcBorders>
              <w:top w:val="nil"/>
              <w:left w:val="nil"/>
              <w:bottom w:val="single" w:sz="4" w:space="0" w:color="000000"/>
              <w:right w:val="single" w:sz="4" w:space="0" w:color="000000"/>
            </w:tcBorders>
            <w:shd w:val="clear" w:color="auto" w:fill="FFFFFF"/>
            <w:vAlign w:val="center"/>
          </w:tcPr>
          <w:p w14:paraId="4591ADF4" w14:textId="77777777" w:rsidR="00763DF2" w:rsidRDefault="00000000">
            <w:pPr>
              <w:widowControl/>
              <w:rPr>
                <w:color w:val="000000"/>
                <w:sz w:val="16"/>
                <w:szCs w:val="16"/>
              </w:rPr>
            </w:pPr>
            <w:r>
              <w:rPr>
                <w:color w:val="000000"/>
                <w:sz w:val="16"/>
                <w:szCs w:val="16"/>
              </w:rPr>
              <w:t>DAR menurun menunjukkan kondisi keuangan semakin baik</w:t>
            </w:r>
          </w:p>
        </w:tc>
      </w:tr>
      <w:tr w:rsidR="00763DF2" w14:paraId="7B4F7FE2" w14:textId="77777777">
        <w:trPr>
          <w:trHeight w:val="624"/>
          <w:jc w:val="center"/>
        </w:trPr>
        <w:tc>
          <w:tcPr>
            <w:tcW w:w="670" w:type="dxa"/>
            <w:tcBorders>
              <w:top w:val="nil"/>
              <w:left w:val="single" w:sz="4" w:space="0" w:color="000000"/>
              <w:bottom w:val="single" w:sz="4" w:space="0" w:color="000000"/>
              <w:right w:val="single" w:sz="4" w:space="0" w:color="000000"/>
            </w:tcBorders>
            <w:shd w:val="clear" w:color="auto" w:fill="FFFFFF"/>
            <w:vAlign w:val="center"/>
          </w:tcPr>
          <w:p w14:paraId="0F6768B0" w14:textId="77777777" w:rsidR="00763DF2" w:rsidRDefault="00000000">
            <w:pPr>
              <w:widowControl/>
              <w:jc w:val="center"/>
              <w:rPr>
                <w:color w:val="000000"/>
                <w:sz w:val="16"/>
                <w:szCs w:val="16"/>
              </w:rPr>
            </w:pPr>
            <w:r>
              <w:rPr>
                <w:color w:val="000000"/>
                <w:sz w:val="16"/>
                <w:szCs w:val="16"/>
              </w:rPr>
              <w:t>2020</w:t>
            </w:r>
          </w:p>
        </w:tc>
        <w:tc>
          <w:tcPr>
            <w:tcW w:w="1168" w:type="dxa"/>
            <w:tcBorders>
              <w:top w:val="nil"/>
              <w:left w:val="nil"/>
              <w:bottom w:val="single" w:sz="4" w:space="0" w:color="000000"/>
              <w:right w:val="single" w:sz="4" w:space="0" w:color="000000"/>
            </w:tcBorders>
            <w:shd w:val="clear" w:color="auto" w:fill="FFFFFF"/>
            <w:vAlign w:val="center"/>
          </w:tcPr>
          <w:p w14:paraId="0D27EA1B" w14:textId="77777777" w:rsidR="00763DF2" w:rsidRDefault="00000000">
            <w:pPr>
              <w:widowControl/>
              <w:jc w:val="center"/>
              <w:rPr>
                <w:color w:val="000000"/>
                <w:sz w:val="16"/>
                <w:szCs w:val="16"/>
              </w:rPr>
            </w:pPr>
            <w:r>
              <w:rPr>
                <w:color w:val="000000"/>
                <w:sz w:val="16"/>
                <w:szCs w:val="16"/>
              </w:rPr>
              <w:t>142,749</w:t>
            </w:r>
          </w:p>
        </w:tc>
        <w:tc>
          <w:tcPr>
            <w:tcW w:w="1010" w:type="dxa"/>
            <w:tcBorders>
              <w:top w:val="nil"/>
              <w:left w:val="nil"/>
              <w:bottom w:val="single" w:sz="4" w:space="0" w:color="000000"/>
              <w:right w:val="single" w:sz="4" w:space="0" w:color="000000"/>
            </w:tcBorders>
            <w:shd w:val="clear" w:color="auto" w:fill="FFFFFF"/>
            <w:vAlign w:val="center"/>
          </w:tcPr>
          <w:p w14:paraId="4F4CB555" w14:textId="77777777" w:rsidR="00763DF2" w:rsidRDefault="00000000">
            <w:pPr>
              <w:widowControl/>
              <w:jc w:val="center"/>
              <w:rPr>
                <w:color w:val="000000"/>
                <w:sz w:val="16"/>
                <w:szCs w:val="16"/>
              </w:rPr>
            </w:pPr>
            <w:r>
              <w:rPr>
                <w:color w:val="000000"/>
                <w:sz w:val="16"/>
                <w:szCs w:val="16"/>
              </w:rPr>
              <w:t>338,203</w:t>
            </w:r>
          </w:p>
        </w:tc>
        <w:tc>
          <w:tcPr>
            <w:tcW w:w="679" w:type="dxa"/>
            <w:tcBorders>
              <w:top w:val="nil"/>
              <w:left w:val="nil"/>
              <w:bottom w:val="single" w:sz="4" w:space="0" w:color="000000"/>
              <w:right w:val="single" w:sz="4" w:space="0" w:color="000000"/>
            </w:tcBorders>
            <w:shd w:val="clear" w:color="auto" w:fill="FFFFFF"/>
            <w:vAlign w:val="center"/>
          </w:tcPr>
          <w:p w14:paraId="4CD563D2" w14:textId="77777777" w:rsidR="00763DF2" w:rsidRDefault="00000000">
            <w:pPr>
              <w:widowControl/>
              <w:jc w:val="center"/>
              <w:rPr>
                <w:color w:val="000000"/>
                <w:sz w:val="16"/>
                <w:szCs w:val="16"/>
              </w:rPr>
            </w:pPr>
            <w:r>
              <w:rPr>
                <w:color w:val="000000"/>
                <w:sz w:val="16"/>
                <w:szCs w:val="16"/>
              </w:rPr>
              <w:t>42%</w:t>
            </w:r>
          </w:p>
        </w:tc>
        <w:tc>
          <w:tcPr>
            <w:tcW w:w="679" w:type="dxa"/>
            <w:tcBorders>
              <w:top w:val="nil"/>
              <w:left w:val="nil"/>
              <w:bottom w:val="single" w:sz="4" w:space="0" w:color="000000"/>
              <w:right w:val="single" w:sz="4" w:space="0" w:color="000000"/>
            </w:tcBorders>
            <w:shd w:val="clear" w:color="auto" w:fill="FFFFFF"/>
            <w:vAlign w:val="center"/>
          </w:tcPr>
          <w:p w14:paraId="31633AAB" w14:textId="77777777" w:rsidR="00763DF2" w:rsidRDefault="00000000">
            <w:pPr>
              <w:widowControl/>
              <w:jc w:val="center"/>
              <w:rPr>
                <w:color w:val="000000"/>
                <w:sz w:val="16"/>
                <w:szCs w:val="16"/>
              </w:rPr>
            </w:pPr>
            <w:sdt>
              <w:sdtPr>
                <w:tag w:val="goog_rdk_3"/>
                <w:id w:val="1933968095"/>
              </w:sdtPr>
              <w:sdtContent>
                <w:r>
                  <w:rPr>
                    <w:rFonts w:ascii="Gungsuh" w:eastAsia="Gungsuh" w:hAnsi="Gungsuh" w:cs="Gungsuh"/>
                    <w:color w:val="000000"/>
                    <w:sz w:val="16"/>
                    <w:szCs w:val="16"/>
                  </w:rPr>
                  <w:t>≤ 60%</w:t>
                </w:r>
              </w:sdtContent>
            </w:sdt>
          </w:p>
        </w:tc>
        <w:tc>
          <w:tcPr>
            <w:tcW w:w="3876" w:type="dxa"/>
            <w:tcBorders>
              <w:top w:val="nil"/>
              <w:left w:val="nil"/>
              <w:bottom w:val="single" w:sz="4" w:space="0" w:color="000000"/>
              <w:right w:val="single" w:sz="4" w:space="0" w:color="000000"/>
            </w:tcBorders>
            <w:shd w:val="clear" w:color="auto" w:fill="FFFFFF"/>
            <w:vAlign w:val="center"/>
          </w:tcPr>
          <w:p w14:paraId="46CE819F" w14:textId="77777777" w:rsidR="00763DF2" w:rsidRDefault="00000000">
            <w:pPr>
              <w:widowControl/>
              <w:rPr>
                <w:color w:val="000000"/>
                <w:sz w:val="16"/>
                <w:szCs w:val="16"/>
              </w:rPr>
            </w:pPr>
            <w:r>
              <w:rPr>
                <w:color w:val="000000"/>
                <w:sz w:val="16"/>
                <w:szCs w:val="16"/>
              </w:rPr>
              <w:t>DAR kembali turun menunjukkan kondisi keuangan semakin baik</w:t>
            </w:r>
          </w:p>
        </w:tc>
      </w:tr>
      <w:tr w:rsidR="00763DF2" w14:paraId="5707EC29" w14:textId="77777777">
        <w:trPr>
          <w:trHeight w:val="456"/>
          <w:jc w:val="center"/>
        </w:trPr>
        <w:tc>
          <w:tcPr>
            <w:tcW w:w="670" w:type="dxa"/>
            <w:tcBorders>
              <w:top w:val="nil"/>
              <w:left w:val="single" w:sz="4" w:space="0" w:color="000000"/>
              <w:bottom w:val="single" w:sz="4" w:space="0" w:color="000000"/>
              <w:right w:val="single" w:sz="4" w:space="0" w:color="000000"/>
            </w:tcBorders>
            <w:shd w:val="clear" w:color="auto" w:fill="FFFFFF"/>
            <w:vAlign w:val="center"/>
          </w:tcPr>
          <w:p w14:paraId="33E9FA1D" w14:textId="77777777" w:rsidR="00763DF2" w:rsidRDefault="00000000">
            <w:pPr>
              <w:widowControl/>
              <w:jc w:val="center"/>
              <w:rPr>
                <w:color w:val="000000"/>
                <w:sz w:val="16"/>
                <w:szCs w:val="16"/>
              </w:rPr>
            </w:pPr>
            <w:r>
              <w:rPr>
                <w:color w:val="000000"/>
                <w:sz w:val="16"/>
                <w:szCs w:val="16"/>
              </w:rPr>
              <w:t>2021</w:t>
            </w:r>
          </w:p>
        </w:tc>
        <w:tc>
          <w:tcPr>
            <w:tcW w:w="1168" w:type="dxa"/>
            <w:tcBorders>
              <w:top w:val="nil"/>
              <w:left w:val="nil"/>
              <w:bottom w:val="single" w:sz="4" w:space="0" w:color="000000"/>
              <w:right w:val="single" w:sz="4" w:space="0" w:color="000000"/>
            </w:tcBorders>
            <w:shd w:val="clear" w:color="auto" w:fill="FFFFFF"/>
            <w:vAlign w:val="center"/>
          </w:tcPr>
          <w:p w14:paraId="322CEB80" w14:textId="77777777" w:rsidR="00763DF2" w:rsidRDefault="00000000">
            <w:pPr>
              <w:widowControl/>
              <w:jc w:val="center"/>
              <w:rPr>
                <w:color w:val="000000"/>
                <w:sz w:val="16"/>
                <w:szCs w:val="16"/>
              </w:rPr>
            </w:pPr>
            <w:r>
              <w:rPr>
                <w:color w:val="000000"/>
                <w:sz w:val="16"/>
                <w:szCs w:val="16"/>
              </w:rPr>
              <w:t>151,696</w:t>
            </w:r>
          </w:p>
        </w:tc>
        <w:tc>
          <w:tcPr>
            <w:tcW w:w="1010" w:type="dxa"/>
            <w:tcBorders>
              <w:top w:val="nil"/>
              <w:left w:val="nil"/>
              <w:bottom w:val="single" w:sz="4" w:space="0" w:color="000000"/>
              <w:right w:val="single" w:sz="4" w:space="0" w:color="000000"/>
            </w:tcBorders>
            <w:shd w:val="clear" w:color="auto" w:fill="FFFFFF"/>
            <w:vAlign w:val="center"/>
          </w:tcPr>
          <w:p w14:paraId="0053537D" w14:textId="77777777" w:rsidR="00763DF2" w:rsidRDefault="00000000">
            <w:pPr>
              <w:widowControl/>
              <w:jc w:val="center"/>
              <w:rPr>
                <w:color w:val="000000"/>
                <w:sz w:val="16"/>
                <w:szCs w:val="16"/>
              </w:rPr>
            </w:pPr>
            <w:r>
              <w:rPr>
                <w:color w:val="000000"/>
                <w:sz w:val="16"/>
                <w:szCs w:val="16"/>
              </w:rPr>
              <w:t>367,311</w:t>
            </w:r>
          </w:p>
        </w:tc>
        <w:tc>
          <w:tcPr>
            <w:tcW w:w="679" w:type="dxa"/>
            <w:tcBorders>
              <w:top w:val="nil"/>
              <w:left w:val="nil"/>
              <w:bottom w:val="single" w:sz="4" w:space="0" w:color="000000"/>
              <w:right w:val="single" w:sz="4" w:space="0" w:color="000000"/>
            </w:tcBorders>
            <w:shd w:val="clear" w:color="auto" w:fill="FFFFFF"/>
            <w:vAlign w:val="center"/>
          </w:tcPr>
          <w:p w14:paraId="17B6888D" w14:textId="77777777" w:rsidR="00763DF2" w:rsidRDefault="00000000">
            <w:pPr>
              <w:widowControl/>
              <w:jc w:val="center"/>
              <w:rPr>
                <w:color w:val="000000"/>
                <w:sz w:val="16"/>
                <w:szCs w:val="16"/>
              </w:rPr>
            </w:pPr>
            <w:r>
              <w:rPr>
                <w:color w:val="000000"/>
                <w:sz w:val="16"/>
                <w:szCs w:val="16"/>
              </w:rPr>
              <w:t>41%</w:t>
            </w:r>
          </w:p>
        </w:tc>
        <w:tc>
          <w:tcPr>
            <w:tcW w:w="679" w:type="dxa"/>
            <w:tcBorders>
              <w:top w:val="nil"/>
              <w:left w:val="nil"/>
              <w:bottom w:val="single" w:sz="4" w:space="0" w:color="000000"/>
              <w:right w:val="single" w:sz="4" w:space="0" w:color="000000"/>
            </w:tcBorders>
            <w:shd w:val="clear" w:color="auto" w:fill="FFFFFF"/>
            <w:vAlign w:val="center"/>
          </w:tcPr>
          <w:p w14:paraId="50A14E28" w14:textId="77777777" w:rsidR="00763DF2" w:rsidRDefault="00000000">
            <w:pPr>
              <w:widowControl/>
              <w:jc w:val="center"/>
              <w:rPr>
                <w:color w:val="000000"/>
                <w:sz w:val="16"/>
                <w:szCs w:val="16"/>
              </w:rPr>
            </w:pPr>
            <w:sdt>
              <w:sdtPr>
                <w:tag w:val="goog_rdk_4"/>
                <w:id w:val="783663901"/>
              </w:sdtPr>
              <w:sdtContent>
                <w:r>
                  <w:rPr>
                    <w:rFonts w:ascii="Gungsuh" w:eastAsia="Gungsuh" w:hAnsi="Gungsuh" w:cs="Gungsuh"/>
                    <w:color w:val="000000"/>
                    <w:sz w:val="16"/>
                    <w:szCs w:val="16"/>
                  </w:rPr>
                  <w:t>≤ 60%</w:t>
                </w:r>
              </w:sdtContent>
            </w:sdt>
          </w:p>
        </w:tc>
        <w:tc>
          <w:tcPr>
            <w:tcW w:w="3876" w:type="dxa"/>
            <w:tcBorders>
              <w:top w:val="nil"/>
              <w:left w:val="nil"/>
              <w:bottom w:val="single" w:sz="4" w:space="0" w:color="000000"/>
              <w:right w:val="single" w:sz="4" w:space="0" w:color="000000"/>
            </w:tcBorders>
            <w:shd w:val="clear" w:color="auto" w:fill="FFFFFF"/>
            <w:vAlign w:val="center"/>
          </w:tcPr>
          <w:p w14:paraId="574040EF" w14:textId="77777777" w:rsidR="00763DF2" w:rsidRDefault="00000000">
            <w:pPr>
              <w:widowControl/>
              <w:rPr>
                <w:color w:val="000000"/>
                <w:sz w:val="16"/>
                <w:szCs w:val="16"/>
              </w:rPr>
            </w:pPr>
            <w:r>
              <w:rPr>
                <w:color w:val="000000"/>
                <w:sz w:val="16"/>
                <w:szCs w:val="16"/>
              </w:rPr>
              <w:t>Kondisi keuangan semakin baik</w:t>
            </w:r>
          </w:p>
        </w:tc>
      </w:tr>
      <w:tr w:rsidR="00763DF2" w14:paraId="5B40258E" w14:textId="77777777">
        <w:trPr>
          <w:trHeight w:val="456"/>
          <w:jc w:val="center"/>
        </w:trPr>
        <w:tc>
          <w:tcPr>
            <w:tcW w:w="670" w:type="dxa"/>
            <w:tcBorders>
              <w:top w:val="nil"/>
              <w:left w:val="single" w:sz="4" w:space="0" w:color="000000"/>
              <w:bottom w:val="single" w:sz="4" w:space="0" w:color="000000"/>
              <w:right w:val="single" w:sz="4" w:space="0" w:color="000000"/>
            </w:tcBorders>
            <w:shd w:val="clear" w:color="auto" w:fill="FFFFFF"/>
            <w:vAlign w:val="center"/>
          </w:tcPr>
          <w:p w14:paraId="65FBCAD7" w14:textId="77777777" w:rsidR="00763DF2" w:rsidRDefault="00000000">
            <w:pPr>
              <w:widowControl/>
              <w:jc w:val="center"/>
              <w:rPr>
                <w:color w:val="000000"/>
                <w:sz w:val="16"/>
                <w:szCs w:val="16"/>
              </w:rPr>
            </w:pPr>
            <w:r>
              <w:rPr>
                <w:color w:val="000000"/>
                <w:sz w:val="16"/>
                <w:szCs w:val="16"/>
              </w:rPr>
              <w:t>2022</w:t>
            </w:r>
          </w:p>
        </w:tc>
        <w:tc>
          <w:tcPr>
            <w:tcW w:w="1168" w:type="dxa"/>
            <w:tcBorders>
              <w:top w:val="nil"/>
              <w:left w:val="nil"/>
              <w:bottom w:val="single" w:sz="4" w:space="0" w:color="000000"/>
              <w:right w:val="single" w:sz="4" w:space="0" w:color="000000"/>
            </w:tcBorders>
            <w:shd w:val="clear" w:color="auto" w:fill="FFFFFF"/>
            <w:vAlign w:val="center"/>
          </w:tcPr>
          <w:p w14:paraId="07A1942B" w14:textId="77777777" w:rsidR="00763DF2" w:rsidRDefault="00000000">
            <w:pPr>
              <w:widowControl/>
              <w:jc w:val="center"/>
              <w:rPr>
                <w:color w:val="000000"/>
                <w:sz w:val="16"/>
                <w:szCs w:val="16"/>
              </w:rPr>
            </w:pPr>
            <w:r>
              <w:rPr>
                <w:color w:val="000000"/>
                <w:sz w:val="16"/>
                <w:szCs w:val="16"/>
              </w:rPr>
              <w:t>169,577</w:t>
            </w:r>
          </w:p>
        </w:tc>
        <w:tc>
          <w:tcPr>
            <w:tcW w:w="1010" w:type="dxa"/>
            <w:tcBorders>
              <w:top w:val="nil"/>
              <w:left w:val="nil"/>
              <w:bottom w:val="single" w:sz="4" w:space="0" w:color="000000"/>
              <w:right w:val="single" w:sz="4" w:space="0" w:color="000000"/>
            </w:tcBorders>
            <w:shd w:val="clear" w:color="auto" w:fill="FFFFFF"/>
            <w:vAlign w:val="center"/>
          </w:tcPr>
          <w:p w14:paraId="5CBDE4F9" w14:textId="77777777" w:rsidR="00763DF2" w:rsidRDefault="00000000">
            <w:pPr>
              <w:widowControl/>
              <w:jc w:val="center"/>
              <w:rPr>
                <w:color w:val="000000"/>
                <w:sz w:val="16"/>
                <w:szCs w:val="16"/>
              </w:rPr>
            </w:pPr>
            <w:r>
              <w:rPr>
                <w:color w:val="000000"/>
                <w:sz w:val="16"/>
                <w:szCs w:val="16"/>
              </w:rPr>
              <w:t>413,297</w:t>
            </w:r>
          </w:p>
        </w:tc>
        <w:tc>
          <w:tcPr>
            <w:tcW w:w="679" w:type="dxa"/>
            <w:tcBorders>
              <w:top w:val="nil"/>
              <w:left w:val="nil"/>
              <w:bottom w:val="single" w:sz="4" w:space="0" w:color="000000"/>
              <w:right w:val="single" w:sz="4" w:space="0" w:color="000000"/>
            </w:tcBorders>
            <w:shd w:val="clear" w:color="auto" w:fill="FFFFFF"/>
            <w:vAlign w:val="center"/>
          </w:tcPr>
          <w:p w14:paraId="7C061CDD" w14:textId="77777777" w:rsidR="00763DF2" w:rsidRDefault="00000000">
            <w:pPr>
              <w:widowControl/>
              <w:jc w:val="center"/>
              <w:rPr>
                <w:color w:val="000000"/>
                <w:sz w:val="16"/>
                <w:szCs w:val="16"/>
              </w:rPr>
            </w:pPr>
            <w:r>
              <w:rPr>
                <w:color w:val="000000"/>
                <w:sz w:val="16"/>
                <w:szCs w:val="16"/>
              </w:rPr>
              <w:t>41%</w:t>
            </w:r>
          </w:p>
        </w:tc>
        <w:tc>
          <w:tcPr>
            <w:tcW w:w="679" w:type="dxa"/>
            <w:tcBorders>
              <w:top w:val="nil"/>
              <w:left w:val="nil"/>
              <w:bottom w:val="single" w:sz="4" w:space="0" w:color="000000"/>
              <w:right w:val="single" w:sz="4" w:space="0" w:color="000000"/>
            </w:tcBorders>
            <w:shd w:val="clear" w:color="auto" w:fill="FFFFFF"/>
            <w:vAlign w:val="center"/>
          </w:tcPr>
          <w:p w14:paraId="118E4685" w14:textId="77777777" w:rsidR="00763DF2" w:rsidRDefault="00000000">
            <w:pPr>
              <w:widowControl/>
              <w:jc w:val="center"/>
              <w:rPr>
                <w:color w:val="000000"/>
                <w:sz w:val="16"/>
                <w:szCs w:val="16"/>
              </w:rPr>
            </w:pPr>
            <w:sdt>
              <w:sdtPr>
                <w:tag w:val="goog_rdk_5"/>
                <w:id w:val="-970920537"/>
              </w:sdtPr>
              <w:sdtContent>
                <w:r>
                  <w:rPr>
                    <w:rFonts w:ascii="Gungsuh" w:eastAsia="Gungsuh" w:hAnsi="Gungsuh" w:cs="Gungsuh"/>
                    <w:color w:val="000000"/>
                    <w:sz w:val="16"/>
                    <w:szCs w:val="16"/>
                  </w:rPr>
                  <w:t>≤ 60%</w:t>
                </w:r>
              </w:sdtContent>
            </w:sdt>
          </w:p>
        </w:tc>
        <w:tc>
          <w:tcPr>
            <w:tcW w:w="3876" w:type="dxa"/>
            <w:tcBorders>
              <w:top w:val="nil"/>
              <w:left w:val="nil"/>
              <w:bottom w:val="single" w:sz="4" w:space="0" w:color="000000"/>
              <w:right w:val="single" w:sz="4" w:space="0" w:color="000000"/>
            </w:tcBorders>
            <w:shd w:val="clear" w:color="auto" w:fill="FFFFFF"/>
            <w:vAlign w:val="center"/>
          </w:tcPr>
          <w:p w14:paraId="1A341617" w14:textId="77777777" w:rsidR="00763DF2" w:rsidRDefault="00000000">
            <w:pPr>
              <w:widowControl/>
              <w:rPr>
                <w:color w:val="000000"/>
                <w:sz w:val="16"/>
                <w:szCs w:val="16"/>
              </w:rPr>
            </w:pPr>
            <w:r>
              <w:rPr>
                <w:color w:val="000000"/>
                <w:sz w:val="16"/>
                <w:szCs w:val="16"/>
              </w:rPr>
              <w:t>Stabil dan berada dalam kondisi baik</w:t>
            </w:r>
          </w:p>
        </w:tc>
      </w:tr>
      <w:tr w:rsidR="00763DF2" w14:paraId="672A621C" w14:textId="77777777">
        <w:trPr>
          <w:trHeight w:val="456"/>
          <w:jc w:val="center"/>
        </w:trPr>
        <w:tc>
          <w:tcPr>
            <w:tcW w:w="670" w:type="dxa"/>
            <w:tcBorders>
              <w:top w:val="nil"/>
              <w:left w:val="single" w:sz="4" w:space="0" w:color="000000"/>
              <w:bottom w:val="single" w:sz="4" w:space="0" w:color="000000"/>
              <w:right w:val="single" w:sz="4" w:space="0" w:color="000000"/>
            </w:tcBorders>
            <w:shd w:val="clear" w:color="auto" w:fill="FFFFFF"/>
            <w:vAlign w:val="center"/>
          </w:tcPr>
          <w:p w14:paraId="46ED9113" w14:textId="77777777" w:rsidR="00763DF2" w:rsidRDefault="00000000">
            <w:pPr>
              <w:widowControl/>
              <w:jc w:val="center"/>
              <w:rPr>
                <w:color w:val="000000"/>
                <w:sz w:val="16"/>
                <w:szCs w:val="16"/>
              </w:rPr>
            </w:pPr>
            <w:r>
              <w:rPr>
                <w:color w:val="000000"/>
                <w:sz w:val="16"/>
                <w:szCs w:val="16"/>
              </w:rPr>
              <w:t>2023</w:t>
            </w:r>
          </w:p>
        </w:tc>
        <w:tc>
          <w:tcPr>
            <w:tcW w:w="1168" w:type="dxa"/>
            <w:tcBorders>
              <w:top w:val="nil"/>
              <w:left w:val="nil"/>
              <w:bottom w:val="single" w:sz="4" w:space="0" w:color="000000"/>
              <w:right w:val="single" w:sz="4" w:space="0" w:color="000000"/>
            </w:tcBorders>
            <w:shd w:val="clear" w:color="auto" w:fill="FFFFFF"/>
            <w:vAlign w:val="center"/>
          </w:tcPr>
          <w:p w14:paraId="22E37399" w14:textId="77777777" w:rsidR="00763DF2" w:rsidRDefault="00000000">
            <w:pPr>
              <w:widowControl/>
              <w:jc w:val="center"/>
              <w:rPr>
                <w:color w:val="000000"/>
                <w:sz w:val="16"/>
                <w:szCs w:val="16"/>
              </w:rPr>
            </w:pPr>
            <w:r>
              <w:rPr>
                <w:color w:val="000000"/>
                <w:sz w:val="16"/>
                <w:szCs w:val="16"/>
              </w:rPr>
              <w:t>195,261</w:t>
            </w:r>
          </w:p>
        </w:tc>
        <w:tc>
          <w:tcPr>
            <w:tcW w:w="1010" w:type="dxa"/>
            <w:tcBorders>
              <w:top w:val="nil"/>
              <w:left w:val="nil"/>
              <w:bottom w:val="single" w:sz="4" w:space="0" w:color="000000"/>
              <w:right w:val="single" w:sz="4" w:space="0" w:color="000000"/>
            </w:tcBorders>
            <w:shd w:val="clear" w:color="auto" w:fill="FFFFFF"/>
            <w:vAlign w:val="center"/>
          </w:tcPr>
          <w:p w14:paraId="0AD68B6D" w14:textId="77777777" w:rsidR="00763DF2" w:rsidRDefault="00000000">
            <w:pPr>
              <w:widowControl/>
              <w:jc w:val="center"/>
              <w:rPr>
                <w:color w:val="000000"/>
                <w:sz w:val="16"/>
                <w:szCs w:val="16"/>
              </w:rPr>
            </w:pPr>
            <w:r>
              <w:rPr>
                <w:color w:val="000000"/>
                <w:sz w:val="16"/>
                <w:szCs w:val="16"/>
              </w:rPr>
              <w:t>445,679</w:t>
            </w:r>
          </w:p>
        </w:tc>
        <w:tc>
          <w:tcPr>
            <w:tcW w:w="679" w:type="dxa"/>
            <w:tcBorders>
              <w:top w:val="nil"/>
              <w:left w:val="nil"/>
              <w:bottom w:val="single" w:sz="4" w:space="0" w:color="000000"/>
              <w:right w:val="single" w:sz="4" w:space="0" w:color="000000"/>
            </w:tcBorders>
            <w:shd w:val="clear" w:color="auto" w:fill="FFFFFF"/>
            <w:vAlign w:val="center"/>
          </w:tcPr>
          <w:p w14:paraId="63AF9C14" w14:textId="77777777" w:rsidR="00763DF2" w:rsidRDefault="00000000">
            <w:pPr>
              <w:widowControl/>
              <w:jc w:val="center"/>
              <w:rPr>
                <w:color w:val="000000"/>
                <w:sz w:val="16"/>
                <w:szCs w:val="16"/>
              </w:rPr>
            </w:pPr>
            <w:r>
              <w:rPr>
                <w:color w:val="000000"/>
                <w:sz w:val="16"/>
                <w:szCs w:val="16"/>
              </w:rPr>
              <w:t>44%</w:t>
            </w:r>
          </w:p>
        </w:tc>
        <w:tc>
          <w:tcPr>
            <w:tcW w:w="679" w:type="dxa"/>
            <w:tcBorders>
              <w:top w:val="nil"/>
              <w:left w:val="nil"/>
              <w:bottom w:val="single" w:sz="4" w:space="0" w:color="000000"/>
              <w:right w:val="single" w:sz="4" w:space="0" w:color="000000"/>
            </w:tcBorders>
            <w:shd w:val="clear" w:color="auto" w:fill="FFFFFF"/>
            <w:vAlign w:val="center"/>
          </w:tcPr>
          <w:p w14:paraId="6303900B" w14:textId="77777777" w:rsidR="00763DF2" w:rsidRDefault="00000000">
            <w:pPr>
              <w:widowControl/>
              <w:jc w:val="center"/>
              <w:rPr>
                <w:color w:val="000000"/>
                <w:sz w:val="16"/>
                <w:szCs w:val="16"/>
              </w:rPr>
            </w:pPr>
            <w:sdt>
              <w:sdtPr>
                <w:tag w:val="goog_rdk_6"/>
                <w:id w:val="1174999546"/>
              </w:sdtPr>
              <w:sdtContent>
                <w:r>
                  <w:rPr>
                    <w:rFonts w:ascii="Gungsuh" w:eastAsia="Gungsuh" w:hAnsi="Gungsuh" w:cs="Gungsuh"/>
                    <w:color w:val="000000"/>
                    <w:sz w:val="16"/>
                    <w:szCs w:val="16"/>
                  </w:rPr>
                  <w:t>≤ 60%</w:t>
                </w:r>
              </w:sdtContent>
            </w:sdt>
          </w:p>
        </w:tc>
        <w:tc>
          <w:tcPr>
            <w:tcW w:w="3876" w:type="dxa"/>
            <w:tcBorders>
              <w:top w:val="nil"/>
              <w:left w:val="nil"/>
              <w:bottom w:val="single" w:sz="4" w:space="0" w:color="000000"/>
              <w:right w:val="single" w:sz="4" w:space="0" w:color="000000"/>
            </w:tcBorders>
            <w:shd w:val="clear" w:color="auto" w:fill="FFFFFF"/>
            <w:vAlign w:val="center"/>
          </w:tcPr>
          <w:p w14:paraId="1AB9DB9A" w14:textId="77777777" w:rsidR="00763DF2" w:rsidRDefault="00000000">
            <w:pPr>
              <w:widowControl/>
              <w:rPr>
                <w:color w:val="000000"/>
                <w:sz w:val="16"/>
                <w:szCs w:val="16"/>
              </w:rPr>
            </w:pPr>
            <w:r>
              <w:rPr>
                <w:color w:val="000000"/>
                <w:sz w:val="16"/>
                <w:szCs w:val="16"/>
              </w:rPr>
              <w:t>DAR meningkat namun kondisi keuangan masih baik</w:t>
            </w:r>
          </w:p>
        </w:tc>
      </w:tr>
    </w:tbl>
    <w:p w14:paraId="6002AABB" w14:textId="77777777" w:rsidR="00763DF2" w:rsidRDefault="00763DF2">
      <w:pPr>
        <w:pBdr>
          <w:top w:val="nil"/>
          <w:left w:val="nil"/>
          <w:bottom w:val="nil"/>
          <w:right w:val="nil"/>
          <w:between w:val="nil"/>
        </w:pBdr>
        <w:spacing w:before="30" w:line="276" w:lineRule="auto"/>
        <w:ind w:left="105" w:right="25" w:firstLine="568"/>
        <w:jc w:val="both"/>
        <w:rPr>
          <w:color w:val="000000"/>
          <w:sz w:val="24"/>
          <w:szCs w:val="24"/>
        </w:rPr>
      </w:pPr>
    </w:p>
    <w:p w14:paraId="615CAA9D" w14:textId="77777777" w:rsidR="00763DF2" w:rsidRDefault="00000000">
      <w:pPr>
        <w:pBdr>
          <w:top w:val="nil"/>
          <w:left w:val="nil"/>
          <w:bottom w:val="nil"/>
          <w:right w:val="nil"/>
          <w:between w:val="nil"/>
        </w:pBdr>
        <w:jc w:val="center"/>
        <w:rPr>
          <w:color w:val="000000"/>
          <w:sz w:val="24"/>
          <w:szCs w:val="24"/>
        </w:rPr>
      </w:pPr>
      <w:r>
        <w:rPr>
          <w:noProof/>
          <w:color w:val="000000"/>
          <w:sz w:val="24"/>
          <w:szCs w:val="24"/>
        </w:rPr>
        <w:drawing>
          <wp:inline distT="0" distB="0" distL="0" distR="0" wp14:anchorId="11D3AB8F" wp14:editId="00693F4E">
            <wp:extent cx="4267200" cy="1676400"/>
            <wp:effectExtent l="0" t="0" r="0" b="0"/>
            <wp:docPr id="2129091372" name="Chart 21290913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0A2B57" w14:textId="77777777" w:rsidR="00763DF2" w:rsidRDefault="00000000">
      <w:pPr>
        <w:pBdr>
          <w:top w:val="nil"/>
          <w:left w:val="nil"/>
          <w:bottom w:val="nil"/>
          <w:right w:val="nil"/>
          <w:between w:val="nil"/>
        </w:pBdr>
        <w:spacing w:before="30" w:line="276" w:lineRule="auto"/>
        <w:ind w:right="25"/>
        <w:jc w:val="center"/>
        <w:rPr>
          <w:b/>
          <w:bCs/>
          <w:color w:val="000000"/>
          <w:sz w:val="24"/>
          <w:szCs w:val="24"/>
        </w:rPr>
      </w:pPr>
      <w:r>
        <w:rPr>
          <w:b/>
          <w:bCs/>
          <w:color w:val="000000"/>
          <w:sz w:val="24"/>
          <w:szCs w:val="24"/>
        </w:rPr>
        <w:t>Grafik 3.</w:t>
      </w:r>
      <w:r>
        <w:rPr>
          <w:color w:val="000000"/>
          <w:sz w:val="24"/>
          <w:szCs w:val="24"/>
        </w:rPr>
        <w:t xml:space="preserve"> </w:t>
      </w:r>
      <w:r>
        <w:rPr>
          <w:b/>
          <w:bCs/>
          <w:color w:val="000000"/>
          <w:sz w:val="24"/>
          <w:szCs w:val="24"/>
        </w:rPr>
        <w:t>Hasil Analisis Trend Rasio Solvabilitas PT. Astra International Tbk</w:t>
      </w:r>
    </w:p>
    <w:p w14:paraId="102D8E70" w14:textId="77777777" w:rsidR="00763DF2" w:rsidRDefault="00763DF2">
      <w:pPr>
        <w:pBdr>
          <w:top w:val="nil"/>
          <w:left w:val="nil"/>
          <w:bottom w:val="nil"/>
          <w:right w:val="nil"/>
          <w:between w:val="nil"/>
        </w:pBdr>
        <w:spacing w:before="30" w:line="276" w:lineRule="auto"/>
        <w:ind w:right="25"/>
        <w:rPr>
          <w:color w:val="000000"/>
          <w:sz w:val="24"/>
          <w:szCs w:val="24"/>
        </w:rPr>
      </w:pPr>
    </w:p>
    <w:p w14:paraId="3EBE0C65" w14:textId="77777777" w:rsidR="00763DF2" w:rsidRDefault="00000000">
      <w:pPr>
        <w:pBdr>
          <w:top w:val="nil"/>
          <w:left w:val="nil"/>
          <w:bottom w:val="nil"/>
          <w:right w:val="nil"/>
          <w:between w:val="nil"/>
        </w:pBdr>
        <w:ind w:right="29" w:firstLine="673"/>
        <w:jc w:val="both"/>
        <w:rPr>
          <w:color w:val="000000"/>
          <w:sz w:val="24"/>
          <w:szCs w:val="24"/>
        </w:rPr>
      </w:pPr>
      <w:r>
        <w:rPr>
          <w:color w:val="000000"/>
          <w:sz w:val="24"/>
          <w:szCs w:val="24"/>
        </w:rPr>
        <w:t>Hasil penelitian menunjukkan bahwa DAR PT Astra International Tbk dari 2018–2023 selalu berada di bawah batas aman 60%, menunjukkan kondisi solvabilitas yang kuat dan stabil. Dari tabel dan grafik diatas dapat dijelaskan :</w:t>
      </w:r>
    </w:p>
    <w:p w14:paraId="1BEE50E4" w14:textId="77777777" w:rsidR="00763DF2" w:rsidRDefault="00000000">
      <w:pPr>
        <w:numPr>
          <w:ilvl w:val="0"/>
          <w:numId w:val="3"/>
        </w:numPr>
        <w:pBdr>
          <w:top w:val="nil"/>
          <w:left w:val="nil"/>
          <w:bottom w:val="nil"/>
          <w:right w:val="nil"/>
          <w:between w:val="nil"/>
        </w:pBdr>
        <w:ind w:left="426" w:right="29"/>
        <w:jc w:val="both"/>
        <w:rPr>
          <w:color w:val="000000"/>
          <w:sz w:val="24"/>
          <w:szCs w:val="24"/>
        </w:rPr>
      </w:pPr>
      <w:r>
        <w:rPr>
          <w:color w:val="000000"/>
          <w:sz w:val="24"/>
          <w:szCs w:val="24"/>
        </w:rPr>
        <w:t>Selama 2018–2019 (Sebelum Pandemi)</w:t>
      </w:r>
    </w:p>
    <w:p w14:paraId="20A1F846" w14:textId="77777777" w:rsidR="00763DF2" w:rsidRDefault="00000000">
      <w:pPr>
        <w:pBdr>
          <w:top w:val="nil"/>
          <w:left w:val="nil"/>
          <w:bottom w:val="nil"/>
          <w:right w:val="nil"/>
          <w:between w:val="nil"/>
        </w:pBdr>
        <w:ind w:left="426" w:right="29"/>
        <w:jc w:val="both"/>
        <w:rPr>
          <w:color w:val="000000"/>
          <w:sz w:val="24"/>
          <w:szCs w:val="24"/>
        </w:rPr>
      </w:pPr>
      <w:r>
        <w:rPr>
          <w:color w:val="000000"/>
          <w:sz w:val="24"/>
          <w:szCs w:val="24"/>
        </w:rPr>
        <w:t>DAR berada di kisaran 47%–49%, menunjukkan bahwa hampir setengah dari total aset perusahaan dibiayai oleh utang. Meskipun demikian, nilainya masih di bawah batas aman (60%), artinya perusahaan masih mampu mengelola struktur modalnya secara sehat tanpa risiko likuiditas tinggi.</w:t>
      </w:r>
    </w:p>
    <w:p w14:paraId="00BE46D0" w14:textId="77777777" w:rsidR="00763DF2" w:rsidRDefault="00000000">
      <w:pPr>
        <w:numPr>
          <w:ilvl w:val="0"/>
          <w:numId w:val="3"/>
        </w:numPr>
        <w:pBdr>
          <w:top w:val="nil"/>
          <w:left w:val="nil"/>
          <w:bottom w:val="nil"/>
          <w:right w:val="nil"/>
          <w:between w:val="nil"/>
        </w:pBdr>
        <w:ind w:left="426" w:right="29"/>
        <w:jc w:val="both"/>
        <w:rPr>
          <w:color w:val="000000"/>
          <w:sz w:val="24"/>
          <w:szCs w:val="24"/>
        </w:rPr>
      </w:pPr>
      <w:r>
        <w:rPr>
          <w:color w:val="000000"/>
          <w:sz w:val="24"/>
          <w:szCs w:val="24"/>
        </w:rPr>
        <w:t>Tahun 2020–2021 (Saat Pandemi COVID-19)</w:t>
      </w:r>
    </w:p>
    <w:p w14:paraId="1EAF4194" w14:textId="77777777" w:rsidR="00763DF2" w:rsidRDefault="00000000">
      <w:pPr>
        <w:pBdr>
          <w:top w:val="nil"/>
          <w:left w:val="nil"/>
          <w:bottom w:val="nil"/>
          <w:right w:val="nil"/>
          <w:between w:val="nil"/>
        </w:pBdr>
        <w:ind w:left="426" w:right="29"/>
        <w:jc w:val="both"/>
        <w:rPr>
          <w:color w:val="000000"/>
          <w:sz w:val="24"/>
          <w:szCs w:val="24"/>
        </w:rPr>
      </w:pPr>
      <w:r>
        <w:rPr>
          <w:color w:val="000000"/>
          <w:sz w:val="24"/>
          <w:szCs w:val="24"/>
        </w:rPr>
        <w:t>DAR turun menjadi 41%–42%, yang berarti proporsi pendanaan melalui utang berkurang. Penurunan ini menunjukkan bahwa PT Astra International Tbk mengurangi ketergantungan terhadap utang selama pandemi menjadi langkah konservatif untuk menjaga stabilitas keuangan di tengah ketidakpastian ekonomi.</w:t>
      </w:r>
    </w:p>
    <w:p w14:paraId="44737E18" w14:textId="77777777" w:rsidR="00763DF2" w:rsidRDefault="00000000">
      <w:pPr>
        <w:numPr>
          <w:ilvl w:val="0"/>
          <w:numId w:val="3"/>
        </w:numPr>
        <w:pBdr>
          <w:top w:val="nil"/>
          <w:left w:val="nil"/>
          <w:bottom w:val="nil"/>
          <w:right w:val="nil"/>
          <w:between w:val="nil"/>
        </w:pBdr>
        <w:ind w:left="426" w:right="29"/>
        <w:jc w:val="both"/>
        <w:rPr>
          <w:color w:val="000000"/>
          <w:sz w:val="24"/>
          <w:szCs w:val="24"/>
        </w:rPr>
      </w:pPr>
      <w:r>
        <w:rPr>
          <w:color w:val="000000"/>
          <w:sz w:val="24"/>
          <w:szCs w:val="24"/>
        </w:rPr>
        <w:t>Tahun 2022–2023 (Pasca Pandemi)</w:t>
      </w:r>
    </w:p>
    <w:p w14:paraId="1DB92DF5" w14:textId="77777777" w:rsidR="00763DF2" w:rsidRDefault="00000000">
      <w:pPr>
        <w:pBdr>
          <w:top w:val="nil"/>
          <w:left w:val="nil"/>
          <w:bottom w:val="nil"/>
          <w:right w:val="nil"/>
          <w:between w:val="nil"/>
        </w:pBdr>
        <w:ind w:left="426" w:right="29"/>
        <w:jc w:val="both"/>
        <w:rPr>
          <w:color w:val="000000"/>
          <w:sz w:val="24"/>
          <w:szCs w:val="24"/>
        </w:rPr>
      </w:pPr>
      <w:r>
        <w:rPr>
          <w:color w:val="000000"/>
          <w:sz w:val="24"/>
          <w:szCs w:val="24"/>
        </w:rPr>
        <w:t xml:space="preserve">DAR sedikit meningkat menjadi 41%–44%, seiring meningkatnya aktivitas bisnis dan </w:t>
      </w:r>
      <w:r>
        <w:rPr>
          <w:color w:val="000000"/>
          <w:sz w:val="24"/>
          <w:szCs w:val="24"/>
        </w:rPr>
        <w:lastRenderedPageBreak/>
        <w:t>kebutuhan modal kerja. Nilai tersebut tetap berada jauh di bawah batas 60%, yang berarti struktur modal perusahaan masih berada dalam kondisi yang stabil dan terkelola dengan baik.</w:t>
      </w:r>
    </w:p>
    <w:p w14:paraId="6424D9E2" w14:textId="77777777" w:rsidR="00763DF2" w:rsidRDefault="00763DF2">
      <w:pPr>
        <w:pBdr>
          <w:top w:val="nil"/>
          <w:left w:val="nil"/>
          <w:bottom w:val="nil"/>
          <w:right w:val="nil"/>
          <w:between w:val="nil"/>
        </w:pBdr>
        <w:ind w:left="426" w:right="29"/>
        <w:jc w:val="both"/>
        <w:rPr>
          <w:color w:val="000000"/>
          <w:sz w:val="24"/>
          <w:szCs w:val="24"/>
        </w:rPr>
      </w:pPr>
    </w:p>
    <w:p w14:paraId="74C790AF" w14:textId="77777777" w:rsidR="00763DF2" w:rsidRDefault="00000000">
      <w:pPr>
        <w:pBdr>
          <w:top w:val="nil"/>
          <w:left w:val="nil"/>
          <w:bottom w:val="nil"/>
          <w:right w:val="nil"/>
          <w:between w:val="nil"/>
        </w:pBdr>
        <w:spacing w:before="30" w:line="276" w:lineRule="auto"/>
        <w:ind w:right="25"/>
        <w:jc w:val="center"/>
        <w:rPr>
          <w:color w:val="000000"/>
          <w:sz w:val="24"/>
          <w:szCs w:val="24"/>
        </w:rPr>
      </w:pPr>
      <w:r>
        <w:rPr>
          <w:b/>
          <w:bCs/>
          <w:color w:val="000000"/>
          <w:sz w:val="24"/>
          <w:szCs w:val="24"/>
        </w:rPr>
        <w:t>Tabel 4.</w:t>
      </w:r>
      <w:r>
        <w:rPr>
          <w:color w:val="000000"/>
          <w:sz w:val="24"/>
          <w:szCs w:val="24"/>
        </w:rPr>
        <w:t xml:space="preserve"> </w:t>
      </w:r>
      <w:r>
        <w:rPr>
          <w:b/>
          <w:bCs/>
          <w:color w:val="000000"/>
          <w:sz w:val="24"/>
          <w:szCs w:val="24"/>
        </w:rPr>
        <w:t>Hasil Perhitungan Rasio Profitabilitas PT. Astra International Tbk</w:t>
      </w:r>
    </w:p>
    <w:p w14:paraId="270684C2" w14:textId="77777777" w:rsidR="00763DF2" w:rsidRDefault="00000000">
      <w:pPr>
        <w:pBdr>
          <w:top w:val="nil"/>
          <w:left w:val="nil"/>
          <w:bottom w:val="nil"/>
          <w:right w:val="nil"/>
          <w:between w:val="nil"/>
        </w:pBdr>
        <w:spacing w:before="30" w:line="276" w:lineRule="auto"/>
        <w:ind w:right="25"/>
        <w:jc w:val="center"/>
        <w:rPr>
          <w:color w:val="000000"/>
          <w:sz w:val="24"/>
          <w:szCs w:val="24"/>
        </w:rPr>
      </w:pPr>
      <w:r>
        <w:rPr>
          <w:noProof/>
          <w:color w:val="000000"/>
          <w:sz w:val="20"/>
          <w:szCs w:val="20"/>
        </w:rPr>
        <w:drawing>
          <wp:inline distT="0" distB="0" distL="0" distR="0" wp14:anchorId="60AE4935" wp14:editId="193B671A">
            <wp:extent cx="5326380" cy="2164080"/>
            <wp:effectExtent l="0" t="0" r="0" b="0"/>
            <wp:docPr id="212909138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326380" cy="2164080"/>
                    </a:xfrm>
                    <a:prstGeom prst="rect">
                      <a:avLst/>
                    </a:prstGeom>
                    <a:ln/>
                  </pic:spPr>
                </pic:pic>
              </a:graphicData>
            </a:graphic>
          </wp:inline>
        </w:drawing>
      </w:r>
    </w:p>
    <w:p w14:paraId="401FD1A1" w14:textId="77777777" w:rsidR="00763DF2" w:rsidRDefault="00000000">
      <w:pPr>
        <w:pBdr>
          <w:top w:val="nil"/>
          <w:left w:val="nil"/>
          <w:bottom w:val="nil"/>
          <w:right w:val="nil"/>
          <w:between w:val="nil"/>
        </w:pBdr>
        <w:spacing w:before="30" w:line="276" w:lineRule="auto"/>
        <w:ind w:right="25"/>
        <w:jc w:val="center"/>
        <w:rPr>
          <w:color w:val="000000"/>
          <w:sz w:val="24"/>
          <w:szCs w:val="24"/>
        </w:rPr>
      </w:pPr>
      <w:r>
        <w:rPr>
          <w:noProof/>
          <w:color w:val="000000"/>
          <w:sz w:val="20"/>
          <w:szCs w:val="20"/>
        </w:rPr>
        <w:drawing>
          <wp:inline distT="0" distB="0" distL="0" distR="0" wp14:anchorId="16EF0114" wp14:editId="6A090B51">
            <wp:extent cx="4362450" cy="1809750"/>
            <wp:effectExtent l="0" t="0" r="0" b="0"/>
            <wp:docPr id="2129091373" name="Chart 2129091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FB9EE73" w14:textId="77777777" w:rsidR="00763DF2" w:rsidRDefault="00000000">
      <w:pPr>
        <w:pBdr>
          <w:top w:val="nil"/>
          <w:left w:val="nil"/>
          <w:bottom w:val="nil"/>
          <w:right w:val="nil"/>
          <w:between w:val="nil"/>
        </w:pBdr>
        <w:spacing w:before="30" w:line="276" w:lineRule="auto"/>
        <w:ind w:right="25"/>
        <w:jc w:val="center"/>
        <w:rPr>
          <w:color w:val="000000"/>
          <w:sz w:val="24"/>
          <w:szCs w:val="24"/>
        </w:rPr>
      </w:pPr>
      <w:r>
        <w:rPr>
          <w:b/>
          <w:bCs/>
          <w:color w:val="000000"/>
          <w:sz w:val="24"/>
          <w:szCs w:val="24"/>
        </w:rPr>
        <w:t>Grafik 4.</w:t>
      </w:r>
      <w:r>
        <w:rPr>
          <w:color w:val="000000"/>
          <w:sz w:val="24"/>
          <w:szCs w:val="24"/>
        </w:rPr>
        <w:t xml:space="preserve"> </w:t>
      </w:r>
      <w:r>
        <w:rPr>
          <w:b/>
          <w:bCs/>
          <w:color w:val="000000"/>
          <w:sz w:val="24"/>
          <w:szCs w:val="24"/>
        </w:rPr>
        <w:t>Hasil Analisis Trend Rasio Profitabilitas PT. Astra International Tbk</w:t>
      </w:r>
    </w:p>
    <w:p w14:paraId="3AFD66E7" w14:textId="77777777" w:rsidR="00763DF2" w:rsidRDefault="00000000">
      <w:pPr>
        <w:pBdr>
          <w:top w:val="nil"/>
          <w:left w:val="nil"/>
          <w:bottom w:val="nil"/>
          <w:right w:val="nil"/>
          <w:between w:val="nil"/>
        </w:pBdr>
        <w:ind w:right="29" w:firstLine="720"/>
        <w:jc w:val="both"/>
        <w:rPr>
          <w:color w:val="000000"/>
          <w:sz w:val="24"/>
          <w:szCs w:val="24"/>
        </w:rPr>
      </w:pPr>
      <w:r>
        <w:rPr>
          <w:color w:val="000000"/>
          <w:sz w:val="24"/>
          <w:szCs w:val="24"/>
        </w:rPr>
        <w:t>Hasil penelitian menunjukkan bahwa ROA PT Astra International Tbk selama 2018–2023 selalu berada pada atau di atas nilai ideal 5%, sehingga dapat dikatakan bahwa kinerja profitabilitas perusahaan kuat dan stabil. Dari tabel dan grafik dapat dijelaskan sebagai berikut:</w:t>
      </w:r>
    </w:p>
    <w:p w14:paraId="26617D71" w14:textId="77777777" w:rsidR="00763DF2" w:rsidRDefault="00000000">
      <w:pPr>
        <w:numPr>
          <w:ilvl w:val="0"/>
          <w:numId w:val="5"/>
        </w:numPr>
        <w:pBdr>
          <w:top w:val="nil"/>
          <w:left w:val="nil"/>
          <w:bottom w:val="nil"/>
          <w:right w:val="nil"/>
          <w:between w:val="nil"/>
        </w:pBdr>
        <w:ind w:left="426" w:right="29"/>
        <w:jc w:val="both"/>
        <w:rPr>
          <w:color w:val="000000"/>
          <w:sz w:val="24"/>
          <w:szCs w:val="24"/>
        </w:rPr>
      </w:pPr>
      <w:r>
        <w:rPr>
          <w:color w:val="000000"/>
          <w:sz w:val="24"/>
          <w:szCs w:val="24"/>
        </w:rPr>
        <w:t>Tahun 2018–2019 (Sebelum Pandemi)</w:t>
      </w:r>
    </w:p>
    <w:p w14:paraId="05162382" w14:textId="77777777" w:rsidR="00763DF2" w:rsidRDefault="00000000">
      <w:pPr>
        <w:pBdr>
          <w:top w:val="nil"/>
          <w:left w:val="nil"/>
          <w:bottom w:val="nil"/>
          <w:right w:val="nil"/>
          <w:between w:val="nil"/>
        </w:pBdr>
        <w:ind w:left="426" w:right="29"/>
        <w:jc w:val="both"/>
        <w:rPr>
          <w:color w:val="000000"/>
          <w:sz w:val="24"/>
          <w:szCs w:val="24"/>
        </w:rPr>
      </w:pPr>
      <w:r>
        <w:rPr>
          <w:color w:val="000000"/>
          <w:sz w:val="24"/>
          <w:szCs w:val="24"/>
        </w:rPr>
        <w:t>Pada periode sebelum pandemi, ROA berada pada level 8%, lebih tinggi dari nilai ideal 5%. Hal ini menunjukkan bahwa perusahaan mampu memanfaatkan aset secara efektif untuk menghasilkan laba. Meskipun kondisi ekonomi relatif stabil, perusahaan tetap berhasil menjaga efisiensi penggunaan aset pada tingkat yang baik.</w:t>
      </w:r>
    </w:p>
    <w:p w14:paraId="3D5CE255" w14:textId="77777777" w:rsidR="00763DF2" w:rsidRDefault="00000000">
      <w:pPr>
        <w:numPr>
          <w:ilvl w:val="0"/>
          <w:numId w:val="5"/>
        </w:numPr>
        <w:pBdr>
          <w:top w:val="nil"/>
          <w:left w:val="nil"/>
          <w:bottom w:val="nil"/>
          <w:right w:val="nil"/>
          <w:between w:val="nil"/>
        </w:pBdr>
        <w:ind w:left="426" w:right="29" w:hanging="426"/>
        <w:jc w:val="both"/>
        <w:rPr>
          <w:color w:val="000000"/>
          <w:sz w:val="24"/>
          <w:szCs w:val="24"/>
        </w:rPr>
      </w:pPr>
      <w:r>
        <w:rPr>
          <w:color w:val="000000"/>
          <w:sz w:val="24"/>
          <w:szCs w:val="24"/>
        </w:rPr>
        <w:t>Tahun 2020–2021 (Saat Pandemi COVID-19)</w:t>
      </w:r>
    </w:p>
    <w:p w14:paraId="2F63A1E2" w14:textId="77777777" w:rsidR="00763DF2" w:rsidRDefault="00000000">
      <w:pPr>
        <w:pBdr>
          <w:top w:val="nil"/>
          <w:left w:val="nil"/>
          <w:bottom w:val="nil"/>
          <w:right w:val="nil"/>
          <w:between w:val="nil"/>
        </w:pBdr>
        <w:ind w:left="426" w:right="29"/>
        <w:jc w:val="both"/>
        <w:rPr>
          <w:color w:val="000000"/>
          <w:sz w:val="24"/>
          <w:szCs w:val="24"/>
        </w:rPr>
      </w:pPr>
      <w:r>
        <w:rPr>
          <w:color w:val="000000"/>
          <w:sz w:val="24"/>
          <w:szCs w:val="24"/>
        </w:rPr>
        <w:t>Pada tahun 2020, ROA menurun menjadi 5%, tepat pada batas ideal. Penurunan ini mencerminkan dampak pandemi yang mengakibatkan melemahnya aktivitas operasional dan penurunan laba. Namun, meskipun berada dalam tekanan ekonomi, perusahaan masih mampu mencapai kinerja yang sesuai standar ideal. Pada tahun 2021, ROA kembali meningkat menjadi 7% seiring mulai pulihnya aktivitas bisnis dan efisiensi operasional perusahaan.</w:t>
      </w:r>
    </w:p>
    <w:p w14:paraId="1C462E20" w14:textId="77777777" w:rsidR="00763DF2" w:rsidRDefault="00000000">
      <w:pPr>
        <w:numPr>
          <w:ilvl w:val="0"/>
          <w:numId w:val="5"/>
        </w:numPr>
        <w:pBdr>
          <w:top w:val="nil"/>
          <w:left w:val="nil"/>
          <w:bottom w:val="nil"/>
          <w:right w:val="nil"/>
          <w:between w:val="nil"/>
        </w:pBdr>
        <w:ind w:left="426" w:right="29"/>
        <w:jc w:val="both"/>
        <w:rPr>
          <w:color w:val="000000"/>
          <w:sz w:val="24"/>
          <w:szCs w:val="24"/>
        </w:rPr>
      </w:pPr>
      <w:r>
        <w:rPr>
          <w:color w:val="000000"/>
          <w:sz w:val="24"/>
          <w:szCs w:val="24"/>
        </w:rPr>
        <w:t>Tahun 2022–2023 (Pasca Pandemi)</w:t>
      </w:r>
    </w:p>
    <w:p w14:paraId="4B643EFE" w14:textId="77777777" w:rsidR="00763DF2" w:rsidRDefault="00000000">
      <w:pPr>
        <w:pBdr>
          <w:top w:val="nil"/>
          <w:left w:val="nil"/>
          <w:bottom w:val="nil"/>
          <w:right w:val="nil"/>
          <w:between w:val="nil"/>
        </w:pBdr>
        <w:ind w:left="426" w:right="29"/>
        <w:jc w:val="both"/>
        <w:rPr>
          <w:color w:val="000000"/>
          <w:sz w:val="24"/>
          <w:szCs w:val="24"/>
        </w:rPr>
      </w:pPr>
      <w:r>
        <w:rPr>
          <w:color w:val="000000"/>
          <w:sz w:val="24"/>
          <w:szCs w:val="24"/>
        </w:rPr>
        <w:t xml:space="preserve">Memasuki masa pemulihan ekonomi, ROA meningkat signifikan menjadi 10% pada tahun 2022 dan bertahan pada tingkat yang sama di tahun 2023. Peningkatan ini menunjukkan bahwa perusahaan tidak hanya pulih, tetapi juga berhasil memaksimalkan aset dalam menciptakan laba. Nilai ROA yang dua kali lipat di atas nilai ideal mencerminkan profitabilitas yang sangat kuat dan pengelolaan aset yang efektif. </w:t>
      </w:r>
    </w:p>
    <w:p w14:paraId="5FD1670B" w14:textId="77777777" w:rsidR="00763DF2" w:rsidRDefault="00763DF2">
      <w:pPr>
        <w:pBdr>
          <w:top w:val="nil"/>
          <w:left w:val="nil"/>
          <w:bottom w:val="nil"/>
          <w:right w:val="nil"/>
          <w:between w:val="nil"/>
        </w:pBdr>
        <w:spacing w:before="72"/>
        <w:rPr>
          <w:color w:val="000000"/>
          <w:sz w:val="24"/>
          <w:szCs w:val="24"/>
        </w:rPr>
      </w:pPr>
    </w:p>
    <w:p w14:paraId="7F6B09DA" w14:textId="77777777" w:rsidR="00763DF2" w:rsidRDefault="00763DF2">
      <w:pPr>
        <w:pBdr>
          <w:top w:val="nil"/>
          <w:left w:val="nil"/>
          <w:bottom w:val="nil"/>
          <w:right w:val="nil"/>
          <w:between w:val="nil"/>
        </w:pBdr>
        <w:spacing w:before="72"/>
        <w:rPr>
          <w:color w:val="000000"/>
          <w:sz w:val="24"/>
          <w:szCs w:val="24"/>
        </w:rPr>
      </w:pPr>
    </w:p>
    <w:p w14:paraId="4865EFDF" w14:textId="77777777" w:rsidR="00763DF2" w:rsidRDefault="00763DF2">
      <w:pPr>
        <w:pBdr>
          <w:top w:val="nil"/>
          <w:left w:val="nil"/>
          <w:bottom w:val="nil"/>
          <w:right w:val="nil"/>
          <w:between w:val="nil"/>
        </w:pBdr>
        <w:spacing w:before="72"/>
        <w:rPr>
          <w:color w:val="000000"/>
          <w:sz w:val="24"/>
          <w:szCs w:val="24"/>
        </w:rPr>
      </w:pPr>
    </w:p>
    <w:p w14:paraId="09B02BA3" w14:textId="77777777" w:rsidR="00763DF2" w:rsidRDefault="00000000">
      <w:pPr>
        <w:pStyle w:val="Heading1"/>
        <w:tabs>
          <w:tab w:val="left" w:pos="353"/>
        </w:tabs>
        <w:ind w:hanging="20"/>
        <w:rPr>
          <w:sz w:val="24"/>
          <w:szCs w:val="24"/>
        </w:rPr>
      </w:pPr>
      <w:r>
        <w:rPr>
          <w:sz w:val="24"/>
          <w:szCs w:val="24"/>
        </w:rPr>
        <w:t>KESIMPULAN DAN SARAN</w:t>
      </w:r>
    </w:p>
    <w:p w14:paraId="4686B5BA" w14:textId="77777777" w:rsidR="00763DF2" w:rsidRDefault="00000000">
      <w:pPr>
        <w:pBdr>
          <w:top w:val="nil"/>
          <w:left w:val="nil"/>
          <w:bottom w:val="nil"/>
          <w:right w:val="nil"/>
          <w:between w:val="nil"/>
        </w:pBdr>
        <w:spacing w:before="30"/>
        <w:ind w:left="105" w:right="25" w:firstLine="568"/>
        <w:jc w:val="both"/>
        <w:rPr>
          <w:color w:val="000000"/>
          <w:sz w:val="24"/>
          <w:szCs w:val="24"/>
        </w:rPr>
      </w:pPr>
      <w:r>
        <w:rPr>
          <w:color w:val="000000"/>
          <w:sz w:val="24"/>
          <w:szCs w:val="24"/>
        </w:rPr>
        <w:t>Berdasarkan pembahasan hasil penelitian yang telah dilakukan, dapat disimpulkan bahwa kinerja keuangan PT Astra International Tbk dari tahun 2018–2023 menunjukkan kondisi yang stabil dan positif meskipun menghadapi tekanan ekonomi akibat pandemi COVID-19. Dilihat dari rasio likuiditas (CR), solvabilitas (DAR), dan profitabilitas (ROA), perusahaan mampu menjaga performa keuangannya dengan baik. Walaupun likuiditas perusahaan tetap berada di bawah batas aman, namun masih menunjukkan kemampuan memenuhi kewajiban jangka pendek yang cukup baik. Rasio solvabilitas juga konsisten berada di bawah standar industri maksimal 60%, menandakan tingkat ketergantungan utang yang rendah dan struktur modal yang sehat. Sementara itu, profitabilitas sempat menurun pada 2020, namun perusahaan berhasil pulih dengan cepat hingga mencapai tingkat profitabilitas yang lebih tinggi pada periode pascapandemi.</w:t>
      </w:r>
    </w:p>
    <w:p w14:paraId="38F66C2C" w14:textId="77777777" w:rsidR="00763DF2" w:rsidRDefault="00000000">
      <w:pPr>
        <w:pBdr>
          <w:top w:val="nil"/>
          <w:left w:val="nil"/>
          <w:bottom w:val="nil"/>
          <w:right w:val="nil"/>
          <w:between w:val="nil"/>
        </w:pBdr>
        <w:ind w:left="105" w:right="25" w:firstLine="568"/>
        <w:jc w:val="both"/>
        <w:rPr>
          <w:color w:val="000000"/>
          <w:sz w:val="24"/>
          <w:szCs w:val="24"/>
        </w:rPr>
      </w:pPr>
      <w:r>
        <w:rPr>
          <w:color w:val="000000"/>
          <w:sz w:val="24"/>
          <w:szCs w:val="24"/>
        </w:rPr>
        <w:t>Berdasarkan hasil tersebut, saran bagi peneliti selanjutnya adalah agar dapat memperluas cakupan penelitian, misalnya dengan menambahkan variabel rasio keuangan lain seperti rasio aktivitas, rasio pasar atau menganalisis dengan metode yang berbeda agar analisis menjadi lebih komprehensif dan menghasilkan temuan yang lebih beragam. Kemudian penggunaan pembandingan dengan perusahaan lain dalam sektor yang sama juga dapat memberikan sudut pandang yang lebih kaya dan objektif. Dan yang terakhir saran bagi perusahaan adalah agar terus mempertahankan kebijakan pengelolaan aset dan struktur modal yang telah efektif. Perusahaan juga perlu terus meningkatkan efisiensi operasional dan pengendalian biaya sehingga profitabilitas dapat terus tumbuh secara berkelanjutan, terutama dalam menghadapi dinamika ekonomi dan persaingan usaha di masa depan.</w:t>
      </w:r>
    </w:p>
    <w:p w14:paraId="60A0B863" w14:textId="77777777" w:rsidR="00763DF2" w:rsidRDefault="00763DF2">
      <w:pPr>
        <w:pBdr>
          <w:top w:val="nil"/>
          <w:left w:val="nil"/>
          <w:bottom w:val="nil"/>
          <w:right w:val="nil"/>
          <w:between w:val="nil"/>
        </w:pBdr>
        <w:rPr>
          <w:color w:val="000000"/>
          <w:sz w:val="24"/>
          <w:szCs w:val="24"/>
        </w:rPr>
      </w:pPr>
    </w:p>
    <w:p w14:paraId="10CE9718" w14:textId="77777777" w:rsidR="00763DF2" w:rsidRDefault="00000000">
      <w:pPr>
        <w:pStyle w:val="Heading1"/>
        <w:tabs>
          <w:tab w:val="left" w:pos="357"/>
        </w:tabs>
        <w:ind w:hanging="20"/>
        <w:jc w:val="both"/>
        <w:rPr>
          <w:sz w:val="24"/>
          <w:szCs w:val="24"/>
        </w:rPr>
      </w:pPr>
      <w:r>
        <w:rPr>
          <w:sz w:val="24"/>
          <w:szCs w:val="24"/>
        </w:rPr>
        <w:t>DAFTAR PUSTAKA</w:t>
      </w:r>
    </w:p>
    <w:p w14:paraId="60872120" w14:textId="77777777" w:rsidR="00763DF2" w:rsidRDefault="00000000">
      <w:pPr>
        <w:pBdr>
          <w:top w:val="nil"/>
          <w:left w:val="nil"/>
          <w:bottom w:val="nil"/>
          <w:right w:val="nil"/>
          <w:between w:val="nil"/>
        </w:pBdr>
        <w:spacing w:before="30"/>
        <w:ind w:left="720" w:right="46" w:hanging="615"/>
        <w:jc w:val="both"/>
        <w:rPr>
          <w:color w:val="000000"/>
          <w:sz w:val="24"/>
          <w:szCs w:val="24"/>
        </w:rPr>
      </w:pPr>
      <w:r>
        <w:rPr>
          <w:color w:val="000000"/>
          <w:sz w:val="24"/>
          <w:szCs w:val="24"/>
        </w:rPr>
        <w:t>Arikunto, S. (2016). Prosedur penelitian: Suatu pendekatan praktik. Jakarta: Rineka Cipta.</w:t>
      </w:r>
    </w:p>
    <w:p w14:paraId="3B0EA550"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Badan Pusat Statistik. (2024). Laporan tahunan 2024: Meningkatkan data statistik untuk pembangunan berkelanjutan. Badan Pusat Statistik Republik Indonesia. Diakses dari https://www.bps.go.id.</w:t>
      </w:r>
    </w:p>
    <w:p w14:paraId="3BE8BBFD"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Diba, R. R. F., Sudarmaji, E., &amp; Yatim, M. R. (2023). Analisis Kinerja Keuangan Sebelum Dan Sesudah Pandemi Covid-19 Pada PT. Media Nusantara Citra, Tbk Periode 2018-2021. Jurnal Ilmiah Akuntansi Pancasila (JIAP), 3(1), 46-57.</w:t>
      </w:r>
    </w:p>
    <w:p w14:paraId="6A80AF26"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Direktorat Jenderal Pajak. (2024). Laporan tahunan 2023: Strengthening strategy, boosting performance. Kementerian Keuangan Republik Indonesia. Diakses dari https://www.pajak.go.id.</w:t>
      </w:r>
    </w:p>
    <w:p w14:paraId="65CC47A1"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 xml:space="preserve">Direktorat Jenderal Pajak. (2023). Laporan tahunan 2022: Accelerating transformation for better tax administration. Kementerian Keuangan Republik Indonesia. Diakses dari </w:t>
      </w:r>
      <w:hyperlink r:id="rId15">
        <w:r>
          <w:rPr>
            <w:color w:val="000000"/>
            <w:sz w:val="24"/>
            <w:szCs w:val="24"/>
          </w:rPr>
          <w:t>https://www.pajak.go.id</w:t>
        </w:r>
      </w:hyperlink>
      <w:r>
        <w:rPr>
          <w:color w:val="000000"/>
          <w:sz w:val="24"/>
          <w:szCs w:val="24"/>
        </w:rPr>
        <w:t>.</w:t>
      </w:r>
    </w:p>
    <w:p w14:paraId="68E4CADF"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Harahap, S. S. (2015). Analisis kritis atas laporan keuangan. Rajawali Pers.</w:t>
      </w:r>
    </w:p>
    <w:p w14:paraId="2C47AF9E"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Kasmir. (2019). Analisis laporan keuangan. Rajawali Pers / RajaGrafindo Persada.</w:t>
      </w:r>
    </w:p>
    <w:p w14:paraId="55291BBC"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Munawir, S. (2010). Analisis laporan keuangan. Liberty.</w:t>
      </w:r>
    </w:p>
    <w:p w14:paraId="2519E53F"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PT Astra International Tbk. (2018). Laporan tahunan 2018: Sustainable growth through innovation. PT Astra International Tbk. Diakses dari https://www.astra.co.id.</w:t>
      </w:r>
    </w:p>
    <w:p w14:paraId="6D7C7594"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PT Astra International Tbk. (2019). Laporan tahunan 2019: Advancing together. PT Astra International Tbk. Diakses dari https://www.astra.co.id.</w:t>
      </w:r>
    </w:p>
    <w:p w14:paraId="5AB7AAD8"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PT Astra International Tbk. (2020). Laporan tahunan 2020: Resilience through challenges. PT Astra International Tbk. Diakses dari https://www.astra.co.id.</w:t>
      </w:r>
    </w:p>
    <w:p w14:paraId="532218E1"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PT Astra International Tbk. (2021). Laporan tahunan 2021: Accelerating recovery, embracing opportunities. PT Astra International Tbk. Diakses dari https://www.astra.co.id.</w:t>
      </w:r>
    </w:p>
    <w:p w14:paraId="5E21459B"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PT Astra International Tbk. (2022). Laporan tahunan 2022: Driving sustainable value. PT Astra International Tbk. Diakses dari https://www.astra.co.id.</w:t>
      </w:r>
    </w:p>
    <w:p w14:paraId="3D782B4B"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 xml:space="preserve">PT Astra International Tbk. (2023). Laporan tahunan 2023: Strengthening foundation for future </w:t>
      </w:r>
      <w:r>
        <w:rPr>
          <w:color w:val="000000"/>
          <w:sz w:val="24"/>
          <w:szCs w:val="24"/>
        </w:rPr>
        <w:lastRenderedPageBreak/>
        <w:t xml:space="preserve">growth. PT Astra International Tbk. Diakses dari </w:t>
      </w:r>
      <w:hyperlink r:id="rId16">
        <w:r>
          <w:rPr>
            <w:color w:val="000000"/>
            <w:sz w:val="24"/>
            <w:szCs w:val="24"/>
          </w:rPr>
          <w:t>https://www.astra.co.id</w:t>
        </w:r>
      </w:hyperlink>
      <w:r>
        <w:rPr>
          <w:color w:val="000000"/>
          <w:sz w:val="24"/>
          <w:szCs w:val="24"/>
        </w:rPr>
        <w:t>.</w:t>
      </w:r>
    </w:p>
    <w:p w14:paraId="4621A9DF"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Sugiyono. (2019). Metode penelitian pendidikan. Bandung: Alfabeta.</w:t>
      </w:r>
    </w:p>
    <w:p w14:paraId="147EB0BF" w14:textId="77777777" w:rsidR="00763DF2" w:rsidRDefault="00000000">
      <w:pPr>
        <w:pBdr>
          <w:top w:val="nil"/>
          <w:left w:val="nil"/>
          <w:bottom w:val="nil"/>
          <w:right w:val="nil"/>
          <w:between w:val="nil"/>
        </w:pBdr>
        <w:ind w:left="720" w:right="46" w:hanging="615"/>
        <w:jc w:val="both"/>
        <w:rPr>
          <w:color w:val="000000"/>
          <w:sz w:val="24"/>
          <w:szCs w:val="24"/>
        </w:rPr>
      </w:pPr>
      <w:r>
        <w:rPr>
          <w:color w:val="000000"/>
          <w:sz w:val="24"/>
          <w:szCs w:val="24"/>
        </w:rPr>
        <w:t>Wikipedia. (2024, Oktober 15). Pandemi COVID-19. Dalam Wikipedia bahasa Indonesia, ensiklopedia bebas. Diakses pada 7 November 2025, dari https://id.wikipedia.org/wiki/Pandemi_COVID-19</w:t>
      </w:r>
    </w:p>
    <w:sectPr w:rsidR="00763DF2" w:rsidSect="00F13389">
      <w:headerReference w:type="default" r:id="rId17"/>
      <w:footerReference w:type="default" r:id="rId18"/>
      <w:pgSz w:w="11910" w:h="16840"/>
      <w:pgMar w:top="1160" w:right="1133" w:bottom="940" w:left="1275" w:header="726" w:footer="757" w:gutter="0"/>
      <w:pgNumType w:start="7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4B59A" w14:textId="77777777" w:rsidR="00DD5880" w:rsidRDefault="00DD5880">
      <w:r>
        <w:separator/>
      </w:r>
    </w:p>
  </w:endnote>
  <w:endnote w:type="continuationSeparator" w:id="0">
    <w:p w14:paraId="5CEA0AA4" w14:textId="77777777" w:rsidR="00DD5880" w:rsidRDefault="00DD5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6D895E1D-29F5-4AD5-BCA2-5AB76D612A93}"/>
  </w:font>
  <w:font w:name="Calibri">
    <w:panose1 w:val="020F0502020204030204"/>
    <w:charset w:val="00"/>
    <w:family w:val="swiss"/>
    <w:pitch w:val="variable"/>
    <w:sig w:usb0="E4002EFF" w:usb1="C200247B" w:usb2="00000009" w:usb3="00000000" w:csb0="000001FF" w:csb1="00000000"/>
    <w:embedRegular r:id="rId2" w:fontKey="{5BF0CEAE-B5E9-4660-9EB8-811691A0A172}"/>
  </w:font>
  <w:font w:name="Georgia">
    <w:panose1 w:val="02040502050405020303"/>
    <w:charset w:val="00"/>
    <w:family w:val="roman"/>
    <w:pitch w:val="variable"/>
    <w:sig w:usb0="00000287" w:usb1="00000000" w:usb2="00000000" w:usb3="00000000" w:csb0="0000009F" w:csb1="00000000"/>
    <w:embedItalic r:id="rId3" w:fontKey="{4CA7C4D4-5F3D-48FE-B914-EDB02C51A0DF}"/>
  </w:font>
  <w:font w:name="Arial Black">
    <w:panose1 w:val="020B0A04020102020204"/>
    <w:charset w:val="00"/>
    <w:family w:val="swiss"/>
    <w:pitch w:val="variable"/>
    <w:sig w:usb0="A00002AF" w:usb1="400078FB" w:usb2="00000000" w:usb3="00000000" w:csb0="0000009F" w:csb1="00000000"/>
    <w:embedRegular r:id="rId4" w:fontKey="{09BFED97-AC96-4647-9ADB-A241914CD024}"/>
  </w:font>
  <w:font w:name="Cambria Math">
    <w:panose1 w:val="02040503050406030204"/>
    <w:charset w:val="00"/>
    <w:family w:val="roman"/>
    <w:pitch w:val="variable"/>
    <w:sig w:usb0="E00006FF" w:usb1="420024FF" w:usb2="02000000" w:usb3="00000000" w:csb0="0000019F" w:csb1="00000000"/>
    <w:embedRegular r:id="rId5" w:fontKey="{17C2EE70-0B26-4DD5-8AEE-78D93648C14A}"/>
    <w:embedItalic r:id="rId6" w:fontKey="{73CCFF85-2C3C-4DB8-9588-3AF003F336FE}"/>
  </w:font>
  <w:font w:name="Gungsuh">
    <w:charset w:val="81"/>
    <w:family w:val="roman"/>
    <w:pitch w:val="variable"/>
    <w:sig w:usb0="B00002AF" w:usb1="69D77CFB" w:usb2="00000030" w:usb3="00000000" w:csb0="0008009F" w:csb1="00000000"/>
    <w:embedRegular r:id="rId7" w:subsetted="1" w:fontKey="{391E4BBC-FE31-4A33-9301-2C5AE674F92F}"/>
  </w:font>
  <w:font w:name="Cambria">
    <w:panose1 w:val="02040503050406030204"/>
    <w:charset w:val="00"/>
    <w:family w:val="roman"/>
    <w:pitch w:val="variable"/>
    <w:sig w:usb0="E00006FF" w:usb1="420024FF" w:usb2="02000000" w:usb3="00000000" w:csb0="0000019F" w:csb1="00000000"/>
    <w:embedRegular r:id="rId8" w:fontKey="{69838668-9D6D-43BA-89A8-6F2FCA8F25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8025" w14:textId="77777777" w:rsidR="00763DF2" w:rsidRDefault="00763DF2">
    <w:pPr>
      <w:pBdr>
        <w:top w:val="nil"/>
        <w:left w:val="nil"/>
        <w:bottom w:val="nil"/>
        <w:right w:val="nil"/>
        <w:between w:val="nil"/>
      </w:pBdr>
      <w:tabs>
        <w:tab w:val="center" w:pos="4513"/>
        <w:tab w:val="right" w:pos="9026"/>
      </w:tabs>
      <w:jc w:val="right"/>
      <w:rPr>
        <w:color w:val="000000"/>
      </w:rPr>
    </w:pPr>
  </w:p>
  <w:p w14:paraId="0DDAFEFC" w14:textId="77777777" w:rsidR="00763DF2"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F451A7">
      <w:rPr>
        <w:noProof/>
        <w:color w:val="000000"/>
      </w:rPr>
      <w:t>16</w:t>
    </w:r>
    <w:r w:rsidR="00F451A7">
      <w:rPr>
        <w:noProof/>
        <w:color w:val="000000"/>
      </w:rPr>
      <w:t>7</w:t>
    </w:r>
    <w:r>
      <w:rPr>
        <w:color w:val="000000"/>
      </w:rPr>
      <w:fldChar w:fldCharType="end"/>
    </w:r>
  </w:p>
  <w:p w14:paraId="2574C09F" w14:textId="77777777" w:rsidR="00763DF2" w:rsidRDefault="00763DF2">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82D4E" w14:textId="77777777" w:rsidR="00DD5880" w:rsidRDefault="00DD5880">
      <w:r>
        <w:separator/>
      </w:r>
    </w:p>
  </w:footnote>
  <w:footnote w:type="continuationSeparator" w:id="0">
    <w:p w14:paraId="394A32A5" w14:textId="77777777" w:rsidR="00DD5880" w:rsidRDefault="00DD5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6C79F" w14:textId="77777777" w:rsidR="00763DF2" w:rsidRDefault="00763DF2">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A069F"/>
    <w:multiLevelType w:val="multilevel"/>
    <w:tmpl w:val="744CFF6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13832D03"/>
    <w:multiLevelType w:val="multilevel"/>
    <w:tmpl w:val="03B6C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FB5A0C"/>
    <w:multiLevelType w:val="multilevel"/>
    <w:tmpl w:val="AF8AF692"/>
    <w:lvl w:ilvl="0">
      <w:start w:val="1"/>
      <w:numFmt w:val="bullet"/>
      <w:lvlText w:val="-"/>
      <w:lvlJc w:val="left"/>
      <w:pPr>
        <w:ind w:left="1060" w:hanging="360"/>
      </w:pPr>
      <w:rPr>
        <w:rFonts w:ascii="Times New Roman" w:eastAsia="Times New Roman" w:hAnsi="Times New Roman" w:cs="Times New Roman"/>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3" w15:restartNumberingAfterBreak="0">
    <w:nsid w:val="2A040BC9"/>
    <w:multiLevelType w:val="multilevel"/>
    <w:tmpl w:val="9210130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7255609"/>
    <w:multiLevelType w:val="multilevel"/>
    <w:tmpl w:val="9FA2AD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9658030">
    <w:abstractNumId w:val="2"/>
  </w:num>
  <w:num w:numId="2" w16cid:durableId="783772106">
    <w:abstractNumId w:val="1"/>
  </w:num>
  <w:num w:numId="3" w16cid:durableId="1114712321">
    <w:abstractNumId w:val="4"/>
  </w:num>
  <w:num w:numId="4" w16cid:durableId="1754860589">
    <w:abstractNumId w:val="0"/>
  </w:num>
  <w:num w:numId="5" w16cid:durableId="889465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DF2"/>
    <w:rsid w:val="00516DBE"/>
    <w:rsid w:val="00750419"/>
    <w:rsid w:val="00763DF2"/>
    <w:rsid w:val="00937CD0"/>
    <w:rsid w:val="00942A0F"/>
    <w:rsid w:val="00DD5880"/>
    <w:rsid w:val="00F13389"/>
    <w:rsid w:val="00F451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E4658"/>
  <w15:docId w15:val="{943A0168-4F73-4C3A-8127-152F58D9D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0" w:hanging="256"/>
      <w:outlineLvl w:val="0"/>
    </w:pPr>
    <w:rPr>
      <w:b/>
      <w:bCs/>
      <w:sz w:val="20"/>
      <w:szCs w:val="20"/>
    </w:rPr>
  </w:style>
  <w:style w:type="paragraph" w:styleId="Heading2">
    <w:name w:val="heading 2"/>
    <w:basedOn w:val="Normal"/>
    <w:next w:val="Normal"/>
    <w:uiPriority w:val="9"/>
    <w:semiHidden/>
    <w:unhideWhenUsed/>
    <w:qFormat/>
    <w:pPr>
      <w:ind w:left="20" w:hanging="204"/>
      <w:outlineLvl w:val="1"/>
    </w:pPr>
    <w:rPr>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ind w:left="768" w:right="962"/>
      <w:jc w:val="center"/>
    </w:pPr>
    <w:rPr>
      <w:b/>
      <w:bCs/>
      <w:sz w:val="28"/>
      <w:szCs w:val="28"/>
    </w:rPr>
  </w:style>
  <w:style w:type="table" w:customStyle="1" w:styleId="TableNormal1">
    <w:name w:val="TableNormal"/>
    <w:tblPr>
      <w:tblCellMar>
        <w:top w:w="100" w:type="dxa"/>
        <w:left w:w="100" w:type="dxa"/>
        <w:bottom w:w="100" w:type="dxa"/>
        <w:right w:w="100" w:type="dxa"/>
      </w:tblCellMar>
    </w:tblPr>
  </w:style>
  <w:style w:type="table" w:customStyle="1" w:styleId="TableNormal10">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ListParagraph">
    <w:name w:val="List Paragraph"/>
    <w:basedOn w:val="Normal"/>
    <w:link w:val="ListParagraphChar"/>
    <w:uiPriority w:val="99"/>
    <w:qFormat/>
    <w:pPr>
      <w:spacing w:line="240" w:lineRule="exact"/>
      <w:ind w:left="82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36BB2"/>
    <w:rPr>
      <w:color w:val="0000FF" w:themeColor="hyperlink"/>
      <w:u w:val="single"/>
    </w:rPr>
  </w:style>
  <w:style w:type="character" w:styleId="UnresolvedMention">
    <w:name w:val="Unresolved Mention"/>
    <w:basedOn w:val="DefaultParagraphFont"/>
    <w:uiPriority w:val="99"/>
    <w:semiHidden/>
    <w:unhideWhenUsed/>
    <w:rsid w:val="00F36BB2"/>
    <w:rPr>
      <w:color w:val="605E5C"/>
      <w:shd w:val="clear" w:color="auto" w:fill="E1DFDD"/>
    </w:rPr>
  </w:style>
  <w:style w:type="table" w:styleId="TableGrid">
    <w:name w:val="Table Grid"/>
    <w:basedOn w:val="TableNormal"/>
    <w:uiPriority w:val="99"/>
    <w:rsid w:val="00D11915"/>
    <w:pPr>
      <w:widowControl/>
      <w:spacing w:after="200" w:line="276" w:lineRule="auto"/>
    </w:pPr>
    <w:rPr>
      <w:rFonts w:ascii="Calibri" w:eastAsia="Calibri" w:hAnsi="Calibri" w:cs="Calibri"/>
      <w:sz w:val="20"/>
      <w:szCs w:val="2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99"/>
    <w:locked/>
    <w:rsid w:val="00F671DE"/>
    <w:rPr>
      <w:rFonts w:ascii="Times New Roman" w:eastAsia="Times New Roman" w:hAnsi="Times New Roman" w:cs="Times New Roman"/>
      <w:lang w:val="id"/>
    </w:rPr>
  </w:style>
  <w:style w:type="paragraph" w:styleId="Header">
    <w:name w:val="header"/>
    <w:basedOn w:val="Normal"/>
    <w:link w:val="HeaderChar"/>
    <w:uiPriority w:val="99"/>
    <w:unhideWhenUsed/>
    <w:rsid w:val="007E5198"/>
    <w:pPr>
      <w:tabs>
        <w:tab w:val="center" w:pos="4513"/>
        <w:tab w:val="right" w:pos="9026"/>
      </w:tabs>
    </w:pPr>
  </w:style>
  <w:style w:type="character" w:customStyle="1" w:styleId="HeaderChar">
    <w:name w:val="Header Char"/>
    <w:basedOn w:val="DefaultParagraphFont"/>
    <w:link w:val="Header"/>
    <w:uiPriority w:val="99"/>
    <w:rsid w:val="007E5198"/>
    <w:rPr>
      <w:rFonts w:ascii="Times New Roman" w:eastAsia="Times New Roman" w:hAnsi="Times New Roman" w:cs="Times New Roman"/>
      <w:lang w:val="id"/>
    </w:rPr>
  </w:style>
  <w:style w:type="paragraph" w:styleId="Footer">
    <w:name w:val="footer"/>
    <w:basedOn w:val="Normal"/>
    <w:link w:val="FooterChar"/>
    <w:uiPriority w:val="99"/>
    <w:unhideWhenUsed/>
    <w:rsid w:val="007E5198"/>
    <w:pPr>
      <w:tabs>
        <w:tab w:val="center" w:pos="4513"/>
        <w:tab w:val="right" w:pos="9026"/>
      </w:tabs>
    </w:pPr>
  </w:style>
  <w:style w:type="character" w:customStyle="1" w:styleId="FooterChar">
    <w:name w:val="Footer Char"/>
    <w:basedOn w:val="DefaultParagraphFont"/>
    <w:link w:val="Footer"/>
    <w:uiPriority w:val="99"/>
    <w:rsid w:val="007E5198"/>
    <w:rPr>
      <w:rFonts w:ascii="Times New Roman" w:eastAsia="Times New Roman" w:hAnsi="Times New Roman" w:cs="Times New Roman"/>
      <w:lang w:val="id"/>
    </w:rPr>
  </w:style>
  <w:style w:type="character" w:styleId="PlaceholderText">
    <w:name w:val="Placeholder Text"/>
    <w:basedOn w:val="DefaultParagraphFont"/>
    <w:uiPriority w:val="99"/>
    <w:semiHidden/>
    <w:rsid w:val="00405EEF"/>
    <w:rPr>
      <w:color w:val="666666"/>
    </w:rPr>
  </w:style>
  <w:style w:type="table" w:customStyle="1" w:styleId="a">
    <w:basedOn w:val="TableNormal10"/>
    <w:pPr>
      <w:widowControl/>
      <w:spacing w:after="200" w:line="276"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0">
    <w:basedOn w:val="TableNormal10"/>
    <w:tblPr>
      <w:tblStyleRowBandSize w:val="1"/>
      <w:tblStyleColBandSize w:val="1"/>
      <w:tblCellMar>
        <w:left w:w="115" w:type="dxa"/>
        <w:right w:w="115" w:type="dxa"/>
      </w:tblCellMar>
    </w:tblPr>
  </w:style>
  <w:style w:type="table" w:customStyle="1" w:styleId="a1">
    <w:basedOn w:val="TableNormal10"/>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
    <w:pPr>
      <w:widowControl/>
      <w:spacing w:after="200" w:line="276" w:lineRule="auto"/>
    </w:pPr>
    <w:rPr>
      <w:rFonts w:ascii="Calibri" w:eastAsia="Calibri" w:hAnsi="Calibri" w:cs="Calibri"/>
      <w:sz w:val="20"/>
      <w:szCs w:val="20"/>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stra.co.i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www.pajak.go.id" TargetMode="External"/><Relationship Id="rId10" Type="http://schemas.openxmlformats.org/officeDocument/2006/relationships/hyperlink" Target="http://www.astra.co.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oleObject" Target="Buku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4b308461b615b3d3/UNPAM/MATERIAL%20KULIAH/SEMESTER%205/MAKING%20JURNAL/Pembagian%20Kelompok%20Mini%20Rise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72931603585329"/>
          <c:y val="0.22002200220022003"/>
          <c:w val="0.81747402326050922"/>
          <c:h val="0.65281480903995914"/>
        </c:manualLayout>
      </c:layout>
      <c:barChart>
        <c:barDir val="col"/>
        <c:grouping val="clustered"/>
        <c:varyColors val="0"/>
        <c:ser>
          <c:idx val="0"/>
          <c:order val="0"/>
          <c:tx>
            <c:strRef>
              <c:f>Lembar1!$C$2</c:f>
              <c:strCache>
                <c:ptCount val="1"/>
                <c:pt idx="0">
                  <c:v>Penerimaan Pajak (Triliun Rupiah)</c:v>
                </c:pt>
              </c:strCache>
            </c:strRef>
          </c:tx>
          <c:spPr>
            <a:gradFill>
              <a:gsLst>
                <a:gs pos="0">
                  <a:schemeClr val="accent1"/>
                </a:gs>
                <a:gs pos="23000">
                  <a:schemeClr val="accent1">
                    <a:lumMod val="89000"/>
                  </a:schemeClr>
                </a:gs>
                <a:gs pos="69000">
                  <a:schemeClr val="accent1">
                    <a:lumMod val="75000"/>
                  </a:schemeClr>
                </a:gs>
                <a:gs pos="97000">
                  <a:schemeClr val="accent1">
                    <a:lumMod val="70000"/>
                  </a:schemeClr>
                </a:gs>
              </a:gsLst>
              <a:path path="circle">
                <a:fillToRect l="50000" t="50000" r="50000" b="50000"/>
              </a:path>
            </a:gradFill>
            <a:ln>
              <a:noFill/>
            </a:ln>
            <a:effectLst/>
          </c:spPr>
          <c:invertIfNegative val="0"/>
          <c:dLbls>
            <c:dLbl>
              <c:idx val="4"/>
              <c:layout>
                <c:manualLayout>
                  <c:x val="0"/>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F3-4193-9D3E-CBC73FBB275F}"/>
                </c:ext>
              </c:extLst>
            </c:dLbl>
            <c:numFmt formatCode="#,##0.00" sourceLinked="0"/>
            <c:spPr>
              <a:noFill/>
              <a:ln>
                <a:noFill/>
              </a:ln>
              <a:effectLst/>
            </c:spPr>
            <c:txPr>
              <a:bodyPr rot="-5400000" spcFirstLastPara="1" vertOverflow="ellipsis" horzOverflow="clip"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Lembar1!$B$3:$B$8</c:f>
              <c:numCache>
                <c:formatCode>General</c:formatCode>
                <c:ptCount val="6"/>
                <c:pt idx="0">
                  <c:v>2018</c:v>
                </c:pt>
                <c:pt idx="1">
                  <c:v>2019</c:v>
                </c:pt>
                <c:pt idx="2">
                  <c:v>2020</c:v>
                </c:pt>
                <c:pt idx="3">
                  <c:v>2021</c:v>
                </c:pt>
                <c:pt idx="4">
                  <c:v>2022</c:v>
                </c:pt>
                <c:pt idx="5">
                  <c:v>2023</c:v>
                </c:pt>
              </c:numCache>
            </c:numRef>
          </c:cat>
          <c:val>
            <c:numRef>
              <c:f>Lembar1!$C$3:$C$8</c:f>
              <c:numCache>
                <c:formatCode>_-* #,##0_-;\-* #,##0_-;_-* "-"??_-;_-@_-</c:formatCode>
                <c:ptCount val="6"/>
                <c:pt idx="0">
                  <c:v>1313.32</c:v>
                </c:pt>
                <c:pt idx="1">
                  <c:v>1332.66</c:v>
                </c:pt>
                <c:pt idx="2">
                  <c:v>1072.1099999999999</c:v>
                </c:pt>
                <c:pt idx="3">
                  <c:v>1278.6500000000001</c:v>
                </c:pt>
                <c:pt idx="4">
                  <c:v>1716.76</c:v>
                </c:pt>
                <c:pt idx="5">
                  <c:v>1867.87</c:v>
                </c:pt>
              </c:numCache>
            </c:numRef>
          </c:val>
          <c:extLst>
            <c:ext xmlns:c16="http://schemas.microsoft.com/office/drawing/2014/chart" uri="{C3380CC4-5D6E-409C-BE32-E72D297353CC}">
              <c16:uniqueId val="{00000002-D7F3-4193-9D3E-CBC73FBB275F}"/>
            </c:ext>
          </c:extLst>
        </c:ser>
        <c:dLbls>
          <c:dLblPos val="outEnd"/>
          <c:showLegendKey val="0"/>
          <c:showVal val="1"/>
          <c:showCatName val="0"/>
          <c:showSerName val="0"/>
          <c:showPercent val="0"/>
          <c:showBubbleSize val="0"/>
        </c:dLbls>
        <c:gapWidth val="219"/>
        <c:overlap val="-27"/>
        <c:axId val="1296353120"/>
        <c:axId val="1296355520"/>
      </c:barChart>
      <c:catAx>
        <c:axId val="1296353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96355520"/>
        <c:crosses val="autoZero"/>
        <c:auto val="1"/>
        <c:lblAlgn val="ctr"/>
        <c:lblOffset val="100"/>
        <c:noMultiLvlLbl val="0"/>
      </c:catAx>
      <c:valAx>
        <c:axId val="1296355520"/>
        <c:scaling>
          <c:orientation val="minMax"/>
          <c:max val="2000"/>
          <c:min val="0"/>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96353120"/>
        <c:crosses val="autoZero"/>
        <c:crossBetween val="between"/>
        <c:majorUnit val="500"/>
        <c:min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962817147856517E-2"/>
          <c:y val="0.15161595924769758"/>
          <c:w val="0.88248162729658797"/>
          <c:h val="0.65543726412896619"/>
        </c:manualLayout>
      </c:layout>
      <c:lineChart>
        <c:grouping val="stacked"/>
        <c:varyColors val="0"/>
        <c:ser>
          <c:idx val="0"/>
          <c:order val="0"/>
          <c:tx>
            <c:strRef>
              <c:f>Lembar1!$C$8</c:f>
              <c:strCache>
                <c:ptCount val="1"/>
                <c:pt idx="0">
                  <c:v> Aset Lancar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Lembar1!$B$9:$B$14</c:f>
              <c:numCache>
                <c:formatCode>General</c:formatCode>
                <c:ptCount val="6"/>
                <c:pt idx="0">
                  <c:v>2018</c:v>
                </c:pt>
                <c:pt idx="1">
                  <c:v>2019</c:v>
                </c:pt>
                <c:pt idx="2">
                  <c:v>2020</c:v>
                </c:pt>
                <c:pt idx="3">
                  <c:v>2021</c:v>
                </c:pt>
                <c:pt idx="4">
                  <c:v>2022</c:v>
                </c:pt>
                <c:pt idx="5">
                  <c:v>2023</c:v>
                </c:pt>
              </c:numCache>
            </c:numRef>
          </c:cat>
          <c:val>
            <c:numRef>
              <c:f>Lembar1!$C$9:$C$14</c:f>
            </c:numRef>
          </c:val>
          <c:smooth val="0"/>
          <c:extLst>
            <c:ext xmlns:c16="http://schemas.microsoft.com/office/drawing/2014/chart" uri="{C3380CC4-5D6E-409C-BE32-E72D297353CC}">
              <c16:uniqueId val="{00000000-3025-48F1-BE59-B045A1097136}"/>
            </c:ext>
          </c:extLst>
        </c:ser>
        <c:ser>
          <c:idx val="1"/>
          <c:order val="1"/>
          <c:tx>
            <c:strRef>
              <c:f>Lembar1!$D$8</c:f>
              <c:strCache>
                <c:ptCount val="1"/>
                <c:pt idx="0">
                  <c:v> Liabilitas Lancar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Lembar1!$B$9:$B$14</c:f>
              <c:numCache>
                <c:formatCode>General</c:formatCode>
                <c:ptCount val="6"/>
                <c:pt idx="0">
                  <c:v>2018</c:v>
                </c:pt>
                <c:pt idx="1">
                  <c:v>2019</c:v>
                </c:pt>
                <c:pt idx="2">
                  <c:v>2020</c:v>
                </c:pt>
                <c:pt idx="3">
                  <c:v>2021</c:v>
                </c:pt>
                <c:pt idx="4">
                  <c:v>2022</c:v>
                </c:pt>
                <c:pt idx="5">
                  <c:v>2023</c:v>
                </c:pt>
              </c:numCache>
            </c:numRef>
          </c:cat>
          <c:val>
            <c:numRef>
              <c:f>Lembar1!$D$9:$D$14</c:f>
            </c:numRef>
          </c:val>
          <c:smooth val="0"/>
          <c:extLst>
            <c:ext xmlns:c16="http://schemas.microsoft.com/office/drawing/2014/chart" uri="{C3380CC4-5D6E-409C-BE32-E72D297353CC}">
              <c16:uniqueId val="{00000001-3025-48F1-BE59-B045A1097136}"/>
            </c:ext>
          </c:extLst>
        </c:ser>
        <c:ser>
          <c:idx val="2"/>
          <c:order val="2"/>
          <c:tx>
            <c:strRef>
              <c:f>Lembar1!$E$8</c:f>
              <c:strCache>
                <c:ptCount val="1"/>
                <c:pt idx="0">
                  <c:v> Current Rasio </c:v>
                </c:pt>
              </c:strCache>
            </c:strRef>
          </c:tx>
          <c:spPr>
            <a:ln w="28575" cap="rnd">
              <a:solidFill>
                <a:schemeClr val="accent1">
                  <a:lumMod val="75000"/>
                  <a:alpha val="93000"/>
                </a:schemeClr>
              </a:solidFill>
              <a:round/>
            </a:ln>
            <a:effectLst/>
          </c:spPr>
          <c:marker>
            <c:symbol val="circle"/>
            <c:size val="7"/>
            <c:spPr>
              <a:solidFill>
                <a:srgbClr val="FFC000"/>
              </a:solidFill>
              <a:ln w="9525">
                <a:solidFill>
                  <a:srgbClr val="002060"/>
                </a:solidFill>
              </a:ln>
              <a:effectLst/>
            </c:spPr>
          </c:marker>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Lembar1!$B$9:$B$14</c:f>
              <c:numCache>
                <c:formatCode>General</c:formatCode>
                <c:ptCount val="6"/>
                <c:pt idx="0">
                  <c:v>2018</c:v>
                </c:pt>
                <c:pt idx="1">
                  <c:v>2019</c:v>
                </c:pt>
                <c:pt idx="2">
                  <c:v>2020</c:v>
                </c:pt>
                <c:pt idx="3">
                  <c:v>2021</c:v>
                </c:pt>
                <c:pt idx="4">
                  <c:v>2022</c:v>
                </c:pt>
                <c:pt idx="5">
                  <c:v>2023</c:v>
                </c:pt>
              </c:numCache>
            </c:numRef>
          </c:cat>
          <c:val>
            <c:numRef>
              <c:f>Lembar1!$E$9:$E$14</c:f>
              <c:numCache>
                <c:formatCode>_(* #,##0.00_);_(* \(#,##0.00\);_(* "-"??_);_(@_)</c:formatCode>
                <c:ptCount val="6"/>
                <c:pt idx="0">
                  <c:v>1.1263276292855486</c:v>
                </c:pt>
                <c:pt idx="1">
                  <c:v>1.2910706068305957</c:v>
                </c:pt>
                <c:pt idx="2">
                  <c:v>1.5432023887281889</c:v>
                </c:pt>
                <c:pt idx="3">
                  <c:v>1.5442772071151882</c:v>
                </c:pt>
                <c:pt idx="4">
                  <c:v>1.5085655799593953</c:v>
                </c:pt>
                <c:pt idx="5">
                  <c:v>1.3292540512869735</c:v>
                </c:pt>
              </c:numCache>
            </c:numRef>
          </c:val>
          <c:smooth val="1"/>
          <c:extLst>
            <c:ext xmlns:c16="http://schemas.microsoft.com/office/drawing/2014/chart" uri="{C3380CC4-5D6E-409C-BE32-E72D297353CC}">
              <c16:uniqueId val="{00000002-3025-48F1-BE59-B045A1097136}"/>
            </c:ext>
          </c:extLst>
        </c:ser>
        <c:dLbls>
          <c:showLegendKey val="0"/>
          <c:showVal val="0"/>
          <c:showCatName val="0"/>
          <c:showSerName val="0"/>
          <c:showPercent val="0"/>
          <c:showBubbleSize val="0"/>
        </c:dLbls>
        <c:marker val="1"/>
        <c:smooth val="0"/>
        <c:axId val="1381034896"/>
        <c:axId val="1381032496"/>
      </c:lineChart>
      <c:catAx>
        <c:axId val="1381034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81032496"/>
        <c:crosses val="autoZero"/>
        <c:auto val="1"/>
        <c:lblAlgn val="ctr"/>
        <c:lblOffset val="100"/>
        <c:noMultiLvlLbl val="0"/>
      </c:catAx>
      <c:valAx>
        <c:axId val="1381032496"/>
        <c:scaling>
          <c:orientation val="minMax"/>
          <c:max val="2"/>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81034896"/>
        <c:crosses val="autoZero"/>
        <c:crossBetween val="between"/>
        <c:majorUnit val="1"/>
      </c:valAx>
      <c:spPr>
        <a:noFill/>
        <a:ln>
          <a:noFill/>
        </a:ln>
        <a:effectLst/>
      </c:spPr>
    </c:plotArea>
    <c:plotVisOnly val="1"/>
    <c:dispBlanksAs val="zero"/>
    <c:showDLblsOverMax val="0"/>
  </c:chart>
  <c:spPr>
    <a:solidFill>
      <a:schemeClr val="bg1"/>
    </a:solidFill>
    <a:ln w="1587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583552055992999E-2"/>
          <c:y val="7.3671842421566464E-2"/>
          <c:w val="0.87986089238845144"/>
          <c:h val="0.80155076409841297"/>
        </c:manualLayout>
      </c:layout>
      <c:lineChart>
        <c:grouping val="stacked"/>
        <c:varyColors val="0"/>
        <c:ser>
          <c:idx val="0"/>
          <c:order val="0"/>
          <c:tx>
            <c:strRef>
              <c:f>Lembar1!$C$22</c:f>
              <c:strCache>
                <c:ptCount val="1"/>
                <c:pt idx="0">
                  <c:v> Total Utang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Lembar1!$B$23:$B$28</c:f>
              <c:numCache>
                <c:formatCode>General</c:formatCode>
                <c:ptCount val="6"/>
                <c:pt idx="0">
                  <c:v>2018</c:v>
                </c:pt>
                <c:pt idx="1">
                  <c:v>2019</c:v>
                </c:pt>
                <c:pt idx="2">
                  <c:v>2020</c:v>
                </c:pt>
                <c:pt idx="3">
                  <c:v>2021</c:v>
                </c:pt>
                <c:pt idx="4">
                  <c:v>2022</c:v>
                </c:pt>
                <c:pt idx="5">
                  <c:v>2023</c:v>
                </c:pt>
              </c:numCache>
            </c:numRef>
          </c:cat>
          <c:val>
            <c:numRef>
              <c:f>Lembar1!$C$23:$C$28</c:f>
            </c:numRef>
          </c:val>
          <c:smooth val="0"/>
          <c:extLst>
            <c:ext xmlns:c16="http://schemas.microsoft.com/office/drawing/2014/chart" uri="{C3380CC4-5D6E-409C-BE32-E72D297353CC}">
              <c16:uniqueId val="{00000000-2C9A-4DCE-84A0-0A0F11568A54}"/>
            </c:ext>
          </c:extLst>
        </c:ser>
        <c:ser>
          <c:idx val="1"/>
          <c:order val="1"/>
          <c:tx>
            <c:strRef>
              <c:f>Lembar1!$D$22</c:f>
              <c:strCache>
                <c:ptCount val="1"/>
                <c:pt idx="0">
                  <c:v> Total Aset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Lembar1!$B$23:$B$28</c:f>
              <c:numCache>
                <c:formatCode>General</c:formatCode>
                <c:ptCount val="6"/>
                <c:pt idx="0">
                  <c:v>2018</c:v>
                </c:pt>
                <c:pt idx="1">
                  <c:v>2019</c:v>
                </c:pt>
                <c:pt idx="2">
                  <c:v>2020</c:v>
                </c:pt>
                <c:pt idx="3">
                  <c:v>2021</c:v>
                </c:pt>
                <c:pt idx="4">
                  <c:v>2022</c:v>
                </c:pt>
                <c:pt idx="5">
                  <c:v>2023</c:v>
                </c:pt>
              </c:numCache>
            </c:numRef>
          </c:cat>
          <c:val>
            <c:numRef>
              <c:f>Lembar1!$D$23:$D$28</c:f>
            </c:numRef>
          </c:val>
          <c:smooth val="0"/>
          <c:extLst>
            <c:ext xmlns:c16="http://schemas.microsoft.com/office/drawing/2014/chart" uri="{C3380CC4-5D6E-409C-BE32-E72D297353CC}">
              <c16:uniqueId val="{00000001-2C9A-4DCE-84A0-0A0F11568A54}"/>
            </c:ext>
          </c:extLst>
        </c:ser>
        <c:ser>
          <c:idx val="2"/>
          <c:order val="2"/>
          <c:tx>
            <c:strRef>
              <c:f>Lembar1!$E$22</c:f>
              <c:strCache>
                <c:ptCount val="1"/>
                <c:pt idx="0">
                  <c:v> DAR </c:v>
                </c:pt>
              </c:strCache>
            </c:strRef>
          </c:tx>
          <c:spPr>
            <a:ln w="28575" cap="rnd">
              <a:solidFill>
                <a:srgbClr val="0070C0"/>
              </a:solidFill>
              <a:round/>
            </a:ln>
            <a:effectLst/>
          </c:spPr>
          <c:marker>
            <c:symbol val="circle"/>
            <c:size val="7"/>
            <c:spPr>
              <a:solidFill>
                <a:srgbClr val="FFC000"/>
              </a:solidFill>
              <a:ln w="9525">
                <a:solidFill>
                  <a:srgbClr val="0070C0"/>
                </a:solidFill>
              </a:ln>
              <a:effectLst/>
            </c:spPr>
          </c:marker>
          <c:dLbls>
            <c:numFmt formatCode="0.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Lembar1!$B$23:$B$28</c:f>
              <c:numCache>
                <c:formatCode>General</c:formatCode>
                <c:ptCount val="6"/>
                <c:pt idx="0">
                  <c:v>2018</c:v>
                </c:pt>
                <c:pt idx="1">
                  <c:v>2019</c:v>
                </c:pt>
                <c:pt idx="2">
                  <c:v>2020</c:v>
                </c:pt>
                <c:pt idx="3">
                  <c:v>2021</c:v>
                </c:pt>
                <c:pt idx="4">
                  <c:v>2022</c:v>
                </c:pt>
                <c:pt idx="5">
                  <c:v>2023</c:v>
                </c:pt>
              </c:numCache>
            </c:numRef>
          </c:cat>
          <c:val>
            <c:numRef>
              <c:f>Lembar1!$E$23:$E$28</c:f>
              <c:numCache>
                <c:formatCode>0%</c:formatCode>
                <c:ptCount val="6"/>
                <c:pt idx="0">
                  <c:v>0.49417628100060629</c:v>
                </c:pt>
                <c:pt idx="1">
                  <c:v>0.46935998045221305</c:v>
                </c:pt>
                <c:pt idx="2">
                  <c:v>0.42208082128189284</c:v>
                </c:pt>
                <c:pt idx="3">
                  <c:v>0.41299062647184537</c:v>
                </c:pt>
                <c:pt idx="4">
                  <c:v>0.41030300244134366</c:v>
                </c:pt>
                <c:pt idx="5">
                  <c:v>0.43812026144377453</c:v>
                </c:pt>
              </c:numCache>
            </c:numRef>
          </c:val>
          <c:smooth val="0"/>
          <c:extLst>
            <c:ext xmlns:c16="http://schemas.microsoft.com/office/drawing/2014/chart" uri="{C3380CC4-5D6E-409C-BE32-E72D297353CC}">
              <c16:uniqueId val="{00000002-2C9A-4DCE-84A0-0A0F11568A54}"/>
            </c:ext>
          </c:extLst>
        </c:ser>
        <c:dLbls>
          <c:dLblPos val="t"/>
          <c:showLegendKey val="0"/>
          <c:showVal val="1"/>
          <c:showCatName val="0"/>
          <c:showSerName val="0"/>
          <c:showPercent val="0"/>
          <c:showBubbleSize val="0"/>
        </c:dLbls>
        <c:marker val="1"/>
        <c:smooth val="0"/>
        <c:axId val="1443513872"/>
        <c:axId val="1443523952"/>
      </c:lineChart>
      <c:catAx>
        <c:axId val="144351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43523952"/>
        <c:crosses val="autoZero"/>
        <c:auto val="1"/>
        <c:lblAlgn val="ctr"/>
        <c:lblOffset val="100"/>
        <c:noMultiLvlLbl val="0"/>
      </c:catAx>
      <c:valAx>
        <c:axId val="1443523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43513872"/>
        <c:crosses val="autoZero"/>
        <c:crossBetween val="between"/>
        <c:majorUnit val="0.2"/>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800" b="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699037620297465E-2"/>
          <c:y val="0.12784918231374925"/>
          <c:w val="0.89174540682414694"/>
          <c:h val="0.61001695941853418"/>
        </c:manualLayout>
      </c:layout>
      <c:lineChart>
        <c:grouping val="standard"/>
        <c:varyColors val="0"/>
        <c:ser>
          <c:idx val="0"/>
          <c:order val="0"/>
          <c:tx>
            <c:strRef>
              <c:f>Lembar1!$C$36</c:f>
              <c:strCache>
                <c:ptCount val="1"/>
                <c:pt idx="0">
                  <c:v> Laba Bersih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Lembar1!$B$37:$B$42</c:f>
              <c:numCache>
                <c:formatCode>General</c:formatCode>
                <c:ptCount val="6"/>
                <c:pt idx="0">
                  <c:v>2018</c:v>
                </c:pt>
                <c:pt idx="1">
                  <c:v>2019</c:v>
                </c:pt>
                <c:pt idx="2">
                  <c:v>2020</c:v>
                </c:pt>
                <c:pt idx="3">
                  <c:v>2021</c:v>
                </c:pt>
                <c:pt idx="4">
                  <c:v>2022</c:v>
                </c:pt>
                <c:pt idx="5">
                  <c:v>2023</c:v>
                </c:pt>
              </c:numCache>
            </c:numRef>
          </c:cat>
          <c:val>
            <c:numRef>
              <c:f>Lembar1!$C$37:$C$42</c:f>
            </c:numRef>
          </c:val>
          <c:smooth val="0"/>
          <c:extLst>
            <c:ext xmlns:c16="http://schemas.microsoft.com/office/drawing/2014/chart" uri="{C3380CC4-5D6E-409C-BE32-E72D297353CC}">
              <c16:uniqueId val="{00000000-0366-445A-9D58-6E838FED9492}"/>
            </c:ext>
          </c:extLst>
        </c:ser>
        <c:ser>
          <c:idx val="1"/>
          <c:order val="1"/>
          <c:tx>
            <c:strRef>
              <c:f>Lembar1!$D$36</c:f>
              <c:strCache>
                <c:ptCount val="1"/>
                <c:pt idx="0">
                  <c:v> Total Aset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Lembar1!$B$37:$B$42</c:f>
              <c:numCache>
                <c:formatCode>General</c:formatCode>
                <c:ptCount val="6"/>
                <c:pt idx="0">
                  <c:v>2018</c:v>
                </c:pt>
                <c:pt idx="1">
                  <c:v>2019</c:v>
                </c:pt>
                <c:pt idx="2">
                  <c:v>2020</c:v>
                </c:pt>
                <c:pt idx="3">
                  <c:v>2021</c:v>
                </c:pt>
                <c:pt idx="4">
                  <c:v>2022</c:v>
                </c:pt>
                <c:pt idx="5">
                  <c:v>2023</c:v>
                </c:pt>
              </c:numCache>
            </c:numRef>
          </c:cat>
          <c:val>
            <c:numRef>
              <c:f>Lembar1!$D$37:$D$42</c:f>
            </c:numRef>
          </c:val>
          <c:smooth val="0"/>
          <c:extLst>
            <c:ext xmlns:c16="http://schemas.microsoft.com/office/drawing/2014/chart" uri="{C3380CC4-5D6E-409C-BE32-E72D297353CC}">
              <c16:uniqueId val="{00000001-0366-445A-9D58-6E838FED9492}"/>
            </c:ext>
          </c:extLst>
        </c:ser>
        <c:ser>
          <c:idx val="2"/>
          <c:order val="2"/>
          <c:tx>
            <c:strRef>
              <c:f>Lembar1!$E$36</c:f>
              <c:strCache>
                <c:ptCount val="1"/>
                <c:pt idx="0">
                  <c:v> ROA </c:v>
                </c:pt>
              </c:strCache>
            </c:strRef>
          </c:tx>
          <c:spPr>
            <a:ln w="28575" cap="rnd">
              <a:solidFill>
                <a:srgbClr val="0070C0"/>
              </a:solidFill>
              <a:round/>
            </a:ln>
            <a:effectLst/>
          </c:spPr>
          <c:marker>
            <c:symbol val="circle"/>
            <c:size val="7"/>
            <c:spPr>
              <a:solidFill>
                <a:srgbClr val="FFC00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Lembar1!$B$37:$B$42</c:f>
              <c:numCache>
                <c:formatCode>General</c:formatCode>
                <c:ptCount val="6"/>
                <c:pt idx="0">
                  <c:v>2018</c:v>
                </c:pt>
                <c:pt idx="1">
                  <c:v>2019</c:v>
                </c:pt>
                <c:pt idx="2">
                  <c:v>2020</c:v>
                </c:pt>
                <c:pt idx="3">
                  <c:v>2021</c:v>
                </c:pt>
                <c:pt idx="4">
                  <c:v>2022</c:v>
                </c:pt>
                <c:pt idx="5">
                  <c:v>2023</c:v>
                </c:pt>
              </c:numCache>
            </c:numRef>
          </c:cat>
          <c:val>
            <c:numRef>
              <c:f>Lembar1!$E$37:$E$42</c:f>
              <c:numCache>
                <c:formatCode>0%</c:formatCode>
                <c:ptCount val="6"/>
                <c:pt idx="0">
                  <c:v>7.9405647049267364E-2</c:v>
                </c:pt>
                <c:pt idx="1">
                  <c:v>7.5636865762392105E-2</c:v>
                </c:pt>
                <c:pt idx="2">
                  <c:v>5.4910808005842644E-2</c:v>
                </c:pt>
                <c:pt idx="3">
                  <c:v>6.9657592612255015E-2</c:v>
                </c:pt>
                <c:pt idx="4">
                  <c:v>9.779891942114266E-2</c:v>
                </c:pt>
                <c:pt idx="5">
                  <c:v>9.9849891962600884E-2</c:v>
                </c:pt>
              </c:numCache>
            </c:numRef>
          </c:val>
          <c:smooth val="0"/>
          <c:extLst>
            <c:ext xmlns:c16="http://schemas.microsoft.com/office/drawing/2014/chart" uri="{C3380CC4-5D6E-409C-BE32-E72D297353CC}">
              <c16:uniqueId val="{00000002-0366-445A-9D58-6E838FED9492}"/>
            </c:ext>
          </c:extLst>
        </c:ser>
        <c:dLbls>
          <c:dLblPos val="t"/>
          <c:showLegendKey val="0"/>
          <c:showVal val="1"/>
          <c:showCatName val="0"/>
          <c:showSerName val="0"/>
          <c:showPercent val="0"/>
          <c:showBubbleSize val="0"/>
        </c:dLbls>
        <c:marker val="1"/>
        <c:smooth val="0"/>
        <c:axId val="1454937184"/>
        <c:axId val="1454938144"/>
      </c:lineChart>
      <c:catAx>
        <c:axId val="145493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54938144"/>
        <c:crosses val="autoZero"/>
        <c:auto val="1"/>
        <c:lblAlgn val="ctr"/>
        <c:lblOffset val="100"/>
        <c:noMultiLvlLbl val="0"/>
      </c:catAx>
      <c:valAx>
        <c:axId val="1454938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54937184"/>
        <c:crosses val="autoZero"/>
        <c:crossBetween val="between"/>
        <c:majorUnit val="4.0000000000000008E-2"/>
      </c:valAx>
      <c:spPr>
        <a:noFill/>
        <a:ln>
          <a:noFill/>
        </a:ln>
        <a:effectLst/>
      </c:spPr>
    </c:plotArea>
    <c:plotVisOnly val="1"/>
    <c:dispBlanksAs val="gap"/>
    <c:showDLblsOverMax val="0"/>
  </c:chart>
  <c:spPr>
    <a:solidFill>
      <a:schemeClr val="bg1"/>
    </a:solidFill>
    <a:ln w="1587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J1yF6/HK/t4MXNaN8AjDAiwpZA==">CgMxLjAaFAoBMBIPCg0IB0IJEgdHdW5nc3VoGhQKATESDwoNCAdCCRIHR3VuZ3N1aBoUCgEyEg8KDQgHQgkSB0d1bmdzdWgaFAoBMxIPCg0IB0IJEgdHdW5nc3VoGhQKATQSDwoNCAdCCRIHR3VuZ3N1aBoUCgE1Eg8KDQgHQgkSB0d1bmdzdWgaFAoBNhIPCg0IB0IJEgdHdW5nc3VoOAByITFpOXBHRUpYU1VOSnhSNHNPa1g2M2dsOWNraVV2bkN1ag==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2871</Words>
  <Characters>16365</Characters>
  <Application>Microsoft Office Word</Application>
  <DocSecurity>0</DocSecurity>
  <Lines>136</Lines>
  <Paragraphs>38</Paragraphs>
  <ScaleCrop>false</ScaleCrop>
  <Company/>
  <LinksUpToDate>false</LinksUpToDate>
  <CharactersWithSpaces>19198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Fauzi</dc:creator>
  <cp:lastModifiedBy>Muhammad Ikhsan Febriyanto</cp:lastModifiedBy>
  <cp:revision>4</cp:revision>
  <dcterms:created xsi:type="dcterms:W3CDTF">2025-12-27T09:28:00Z</dcterms:created>
  <dcterms:modified xsi:type="dcterms:W3CDTF">2026-01-29T12:23:00Z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Microsoft® Office Word 2007</vt:lpwstr>
  </property>
  <property fmtid="{D5CDD505-2E9C-101B-9397-08002B2CF9AE}" pid="4" name="LastSaved">
    <vt:filetime>2025-11-07T00:00:00Z</vt:filetime>
  </property>
  <property fmtid="{D5CDD505-2E9C-101B-9397-08002B2CF9AE}" pid="5" name="Producer">
    <vt:lpwstr>Microsoft® Office Word 2007</vt:lpwstr>
  </property>
</Properties>
</file>