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DF276" w14:textId="544E19D4" w:rsidR="009F4619" w:rsidRPr="002F2C5C" w:rsidRDefault="009B01FC" w:rsidP="009F4619">
      <w:pPr>
        <w:jc w:val="center"/>
        <w:rPr>
          <w:rFonts w:ascii="Book Antiqua" w:hAnsi="Book Antiqua"/>
          <w:b/>
          <w:bCs/>
          <w:sz w:val="28"/>
          <w:szCs w:val="28"/>
          <w:lang w:val="en-US"/>
        </w:rPr>
      </w:pPr>
      <w:r w:rsidRPr="009B01FC">
        <w:rPr>
          <w:rFonts w:ascii="Book Antiqua" w:hAnsi="Book Antiqua"/>
          <w:b/>
          <w:bCs/>
          <w:sz w:val="28"/>
          <w:szCs w:val="28"/>
          <w:lang w:val="en-US"/>
        </w:rPr>
        <w:t>FINANCIAL PERFORMANCE ANALYSIS BASED ON LIQUIDITY, SOLVENCY, AND DUPONT RATIOS AT PT CHAROEN POKPHAND INDONESIA 2015–2024</w:t>
      </w:r>
    </w:p>
    <w:p w14:paraId="245B65D2" w14:textId="77777777" w:rsidR="009F4619" w:rsidRPr="002F2C5C" w:rsidRDefault="009F4619" w:rsidP="009F4619">
      <w:pPr>
        <w:jc w:val="both"/>
        <w:rPr>
          <w:rFonts w:ascii="Book Antiqua" w:hAnsi="Book Antiqua"/>
          <w:lang w:val="en-US"/>
        </w:rPr>
      </w:pPr>
    </w:p>
    <w:p w14:paraId="615DF1AB" w14:textId="63E8DE69" w:rsidR="009F4619" w:rsidRPr="000A1F91" w:rsidRDefault="009B01FC" w:rsidP="000A1F91">
      <w:pPr>
        <w:jc w:val="center"/>
        <w:rPr>
          <w:rFonts w:ascii="Book Antiqua" w:hAnsi="Book Antiqua"/>
          <w:lang w:val="en-US"/>
        </w:rPr>
      </w:pPr>
      <w:r>
        <w:rPr>
          <w:rFonts w:ascii="Book Antiqua" w:hAnsi="Book Antiqua"/>
          <w:lang w:val="en-US"/>
        </w:rPr>
        <w:t>Dianah Alifiah</w:t>
      </w:r>
    </w:p>
    <w:p w14:paraId="6C0D18CA" w14:textId="685813CF" w:rsidR="009F4619" w:rsidRPr="000A1F91" w:rsidRDefault="00BB56F8" w:rsidP="000A1F91">
      <w:pPr>
        <w:jc w:val="center"/>
        <w:rPr>
          <w:rFonts w:ascii="Book Antiqua" w:hAnsi="Book Antiqua"/>
          <w:lang w:val="en-US"/>
        </w:rPr>
      </w:pPr>
      <w:proofErr w:type="spellStart"/>
      <w:r w:rsidRPr="00BB56F8">
        <w:rPr>
          <w:rFonts w:ascii="Book Antiqua" w:hAnsi="Book Antiqua"/>
          <w:lang w:val="en-US"/>
        </w:rPr>
        <w:t>Pamulang</w:t>
      </w:r>
      <w:proofErr w:type="spellEnd"/>
      <w:r w:rsidRPr="00BB56F8">
        <w:rPr>
          <w:rFonts w:ascii="Book Antiqua" w:hAnsi="Book Antiqua"/>
          <w:lang w:val="en-US"/>
        </w:rPr>
        <w:t xml:space="preserve"> University, Management Study Program</w:t>
      </w:r>
    </w:p>
    <w:p w14:paraId="4D7CFE42" w14:textId="50B9DDC3" w:rsidR="009F4619" w:rsidRPr="000A1F91" w:rsidRDefault="007053C9" w:rsidP="000A1F91">
      <w:pPr>
        <w:jc w:val="center"/>
        <w:rPr>
          <w:rFonts w:ascii="Book Antiqua" w:hAnsi="Book Antiqua"/>
          <w:lang w:val="en-US"/>
        </w:rPr>
      </w:pPr>
      <w:hyperlink r:id="rId8" w:history="1">
        <w:r w:rsidR="009B01FC" w:rsidRPr="0019281C">
          <w:rPr>
            <w:rStyle w:val="Hyperlink"/>
            <w:rFonts w:ascii="Book Antiqua" w:hAnsi="Book Antiqua"/>
            <w:lang w:val="en-US"/>
          </w:rPr>
          <w:t>Dianahalifiah@gmail.com</w:t>
        </w:r>
      </w:hyperlink>
    </w:p>
    <w:p w14:paraId="4F331400" w14:textId="77777777" w:rsidR="009F4619" w:rsidRPr="000A1F91" w:rsidRDefault="009F4619" w:rsidP="000A1F91">
      <w:pPr>
        <w:jc w:val="both"/>
        <w:rPr>
          <w:rFonts w:ascii="Book Antiqua" w:hAnsi="Book Antiqua"/>
          <w:lang w:val="en-US"/>
        </w:rPr>
      </w:pPr>
    </w:p>
    <w:p w14:paraId="75931EA9" w14:textId="6CCB9FBA" w:rsidR="009F4619" w:rsidRPr="000A1F91" w:rsidRDefault="009B01FC" w:rsidP="000A1F91">
      <w:pPr>
        <w:jc w:val="center"/>
        <w:rPr>
          <w:rFonts w:ascii="Book Antiqua" w:hAnsi="Book Antiqua"/>
          <w:b/>
          <w:bCs/>
          <w:lang w:val="en-US"/>
        </w:rPr>
      </w:pPr>
      <w:r w:rsidRPr="009B01FC">
        <w:rPr>
          <w:rFonts w:ascii="Book Antiqua" w:hAnsi="Book Antiqua"/>
          <w:b/>
          <w:bCs/>
          <w:lang w:val="en-US"/>
        </w:rPr>
        <w:t>Abstract</w:t>
      </w:r>
    </w:p>
    <w:p w14:paraId="1DEFDB4F" w14:textId="43BA7CE9" w:rsidR="009B01FC" w:rsidRPr="009B01FC" w:rsidRDefault="000A1F91" w:rsidP="00125594">
      <w:pPr>
        <w:jc w:val="both"/>
        <w:rPr>
          <w:rFonts w:ascii="Book Antiqua" w:hAnsi="Book Antiqua"/>
          <w:lang w:val="en-US"/>
        </w:rPr>
      </w:pPr>
      <w:r w:rsidRPr="000A1F91">
        <w:rPr>
          <w:rFonts w:ascii="Book Antiqua" w:hAnsi="Book Antiqua"/>
          <w:lang w:val="en-US"/>
        </w:rPr>
        <w:tab/>
      </w:r>
      <w:r w:rsidR="00125594" w:rsidRPr="00125594">
        <w:rPr>
          <w:rFonts w:ascii="Book Antiqua" w:hAnsi="Book Antiqua"/>
          <w:lang w:val="en-ID"/>
        </w:rPr>
        <w:t xml:space="preserve">This research attempts to look into </w:t>
      </w:r>
      <w:r w:rsidR="009B01FC" w:rsidRPr="009B01FC">
        <w:rPr>
          <w:rFonts w:ascii="Book Antiqua" w:hAnsi="Book Antiqua"/>
          <w:lang w:val="en-US"/>
        </w:rPr>
        <w:t xml:space="preserve">the financial performance of PT Charoen Pokphand Indonesia </w:t>
      </w:r>
      <w:proofErr w:type="spellStart"/>
      <w:r w:rsidR="009B01FC" w:rsidRPr="009B01FC">
        <w:rPr>
          <w:rFonts w:ascii="Book Antiqua" w:hAnsi="Book Antiqua"/>
          <w:lang w:val="en-US"/>
        </w:rPr>
        <w:t>Tbk</w:t>
      </w:r>
      <w:proofErr w:type="spellEnd"/>
      <w:r w:rsidR="009B01FC" w:rsidRPr="009B01FC">
        <w:rPr>
          <w:rFonts w:ascii="Book Antiqua" w:hAnsi="Book Antiqua"/>
          <w:lang w:val="en-US"/>
        </w:rPr>
        <w:t xml:space="preserve"> from 2015 to 2024 using three financial ratio approaches: liquidity ratios, solvency ratios, and DuPont analysis. </w:t>
      </w:r>
      <w:r w:rsidR="00125594" w:rsidRPr="00125594">
        <w:rPr>
          <w:rFonts w:ascii="Book Antiqua" w:hAnsi="Book Antiqua"/>
          <w:lang w:val="en-ID"/>
        </w:rPr>
        <w:t>This study utilizes a descriptive quantitative research method, relying on secondary data collected from the company’s disclosed annual financial reports</w:t>
      </w:r>
      <w:r w:rsidR="009B01FC" w:rsidRPr="009B01FC">
        <w:rPr>
          <w:rFonts w:ascii="Book Antiqua" w:hAnsi="Book Antiqua"/>
          <w:lang w:val="en-US"/>
        </w:rPr>
        <w:t xml:space="preserve"> thru the Indonesia Stock Exchange (IDX). The analysis was conducted to assess the company's ability to meet short-term obligations, manage its capital structure, and measure profitability based on the efficiency of asset and equity utilization.</w:t>
      </w:r>
    </w:p>
    <w:p w14:paraId="2811E24C" w14:textId="183A7E80" w:rsidR="000A1F91" w:rsidRPr="000A1F91" w:rsidRDefault="009B01FC" w:rsidP="009B01FC">
      <w:pPr>
        <w:jc w:val="both"/>
        <w:rPr>
          <w:rFonts w:ascii="Book Antiqua" w:hAnsi="Book Antiqua"/>
          <w:lang w:val="en-US"/>
        </w:rPr>
      </w:pPr>
      <w:r w:rsidRPr="009B01FC">
        <w:rPr>
          <w:rFonts w:ascii="Book Antiqua" w:hAnsi="Book Antiqua"/>
          <w:lang w:val="en-US"/>
        </w:rPr>
        <w:t xml:space="preserve">The research results show that the company's liquidity level is very good, as indicated by an average current ratio of 236.11% and a quick ratio above the industry standard. From a solvency perspective, the average debt-to-asset ratio (DAR) of 29.62% indicates that most of the company's assets are financed by equity, while the debt-to-equity ratio (DER) shows a dependence on debt that is still within acceptable limits. DuPont analysis indicates a declining profitability trend, with an average return on assets (ROA) of 11.78% and an average return on equity (ROE) of 16.58%, although positive results are still being shown. Overall, the financial condition of PT Charoen Pokphand Indonesia </w:t>
      </w:r>
      <w:proofErr w:type="spellStart"/>
      <w:r w:rsidRPr="009B01FC">
        <w:rPr>
          <w:rFonts w:ascii="Book Antiqua" w:hAnsi="Book Antiqua"/>
          <w:lang w:val="en-US"/>
        </w:rPr>
        <w:t>Tbk</w:t>
      </w:r>
      <w:proofErr w:type="spellEnd"/>
      <w:r w:rsidRPr="009B01FC">
        <w:rPr>
          <w:rFonts w:ascii="Book Antiqua" w:hAnsi="Book Antiqua"/>
          <w:lang w:val="en-US"/>
        </w:rPr>
        <w:t xml:space="preserve"> is considered stable and healthy, but the company needs to improve operational efficiency and asset management to maintain long-term profitability.</w:t>
      </w:r>
      <w:r>
        <w:rPr>
          <w:rFonts w:ascii="Book Antiqua" w:hAnsi="Book Antiqua"/>
          <w:lang w:val="en-US"/>
        </w:rPr>
        <w:t xml:space="preserve"> </w:t>
      </w:r>
    </w:p>
    <w:p w14:paraId="76CE428D" w14:textId="77777777" w:rsidR="009F4619" w:rsidRPr="000A1F91" w:rsidRDefault="009F4619" w:rsidP="000A1F91">
      <w:pPr>
        <w:jc w:val="both"/>
        <w:rPr>
          <w:rFonts w:ascii="Book Antiqua" w:hAnsi="Book Antiqua"/>
          <w:lang w:val="en-US"/>
        </w:rPr>
      </w:pPr>
    </w:p>
    <w:p w14:paraId="61DC1AE6" w14:textId="18F1200E" w:rsidR="009F4619" w:rsidRPr="000A1F91" w:rsidRDefault="009B01FC" w:rsidP="000A1F91">
      <w:pPr>
        <w:jc w:val="both"/>
        <w:rPr>
          <w:rFonts w:ascii="Book Antiqua" w:hAnsi="Book Antiqua"/>
          <w:lang w:val="en-US"/>
        </w:rPr>
      </w:pPr>
      <w:r w:rsidRPr="009B01FC">
        <w:rPr>
          <w:rFonts w:ascii="Book Antiqua" w:hAnsi="Book Antiqua"/>
          <w:b/>
          <w:bCs/>
          <w:lang w:val="en-US"/>
        </w:rPr>
        <w:t>Keywords</w:t>
      </w:r>
      <w:r w:rsidR="009F4619" w:rsidRPr="000A1F91">
        <w:rPr>
          <w:rFonts w:ascii="Book Antiqua" w:hAnsi="Book Antiqua"/>
          <w:b/>
          <w:bCs/>
          <w:lang w:val="en-US"/>
        </w:rPr>
        <w:t>:</w:t>
      </w:r>
      <w:r w:rsidR="009F4619" w:rsidRPr="000A1F91">
        <w:rPr>
          <w:rFonts w:ascii="Book Antiqua" w:hAnsi="Book Antiqua"/>
          <w:lang w:val="en-US"/>
        </w:rPr>
        <w:t xml:space="preserve"> </w:t>
      </w:r>
      <w:r w:rsidRPr="009B01FC">
        <w:rPr>
          <w:rFonts w:ascii="Book Antiqua" w:hAnsi="Book Antiqua"/>
          <w:lang w:val="en-US"/>
        </w:rPr>
        <w:t xml:space="preserve">Financial Performance, Liquidity Ratio, Solvency Ratio, Dupont Analysis, PT Charoen Pokphand Indonesia </w:t>
      </w:r>
      <w:proofErr w:type="spellStart"/>
      <w:r w:rsidRPr="009B01FC">
        <w:rPr>
          <w:rFonts w:ascii="Book Antiqua" w:hAnsi="Book Antiqua"/>
          <w:lang w:val="en-US"/>
        </w:rPr>
        <w:t>Tbk</w:t>
      </w:r>
      <w:proofErr w:type="spellEnd"/>
      <w:r w:rsidRPr="009B01FC">
        <w:rPr>
          <w:rFonts w:ascii="Book Antiqua" w:hAnsi="Book Antiqua"/>
          <w:lang w:val="en-US"/>
        </w:rPr>
        <w:t>.</w:t>
      </w:r>
    </w:p>
    <w:p w14:paraId="5400D72D" w14:textId="77777777" w:rsidR="009F4619" w:rsidRPr="000A1F91" w:rsidRDefault="009F4619" w:rsidP="000A1F91">
      <w:pPr>
        <w:jc w:val="both"/>
        <w:rPr>
          <w:rFonts w:ascii="Book Antiqua" w:hAnsi="Book Antiqua"/>
          <w:lang w:val="en-US"/>
        </w:rPr>
      </w:pPr>
    </w:p>
    <w:p w14:paraId="3F4BA939" w14:textId="35C0F577" w:rsidR="009F4619" w:rsidRPr="000A1F91" w:rsidRDefault="003C16D1" w:rsidP="000A1F91">
      <w:pPr>
        <w:jc w:val="both"/>
        <w:rPr>
          <w:rFonts w:ascii="Book Antiqua" w:hAnsi="Book Antiqua"/>
          <w:b/>
          <w:bCs/>
          <w:lang w:val="en-US"/>
        </w:rPr>
      </w:pPr>
      <w:r w:rsidRPr="003C16D1">
        <w:rPr>
          <w:rFonts w:ascii="Book Antiqua" w:hAnsi="Book Antiqua"/>
          <w:b/>
          <w:bCs/>
          <w:lang w:val="en-US"/>
        </w:rPr>
        <w:t>Introduction</w:t>
      </w:r>
    </w:p>
    <w:p w14:paraId="5EB82C25" w14:textId="68A311E8" w:rsidR="009B01FC" w:rsidRPr="009B01FC" w:rsidRDefault="009F4619" w:rsidP="000423D5">
      <w:pPr>
        <w:jc w:val="both"/>
        <w:rPr>
          <w:rFonts w:ascii="Book Antiqua" w:hAnsi="Book Antiqua"/>
          <w:lang w:val="en-US"/>
        </w:rPr>
      </w:pPr>
      <w:r w:rsidRPr="000A1F91">
        <w:rPr>
          <w:rFonts w:ascii="Book Antiqua" w:hAnsi="Book Antiqua"/>
          <w:lang w:val="en-US"/>
        </w:rPr>
        <w:tab/>
      </w:r>
      <w:r w:rsidR="000423D5" w:rsidRPr="000423D5">
        <w:rPr>
          <w:rFonts w:ascii="Book Antiqua" w:hAnsi="Book Antiqua"/>
          <w:lang w:val="en-ID"/>
        </w:rPr>
        <w:t xml:space="preserve">One of the primary objectives while launching a firm is to optimize </w:t>
      </w:r>
      <w:r w:rsidR="009B01FC" w:rsidRPr="009B01FC">
        <w:rPr>
          <w:rFonts w:ascii="Book Antiqua" w:hAnsi="Book Antiqua"/>
          <w:lang w:val="en-US"/>
        </w:rPr>
        <w:t xml:space="preserve">profits. However, it is financial management that determines </w:t>
      </w:r>
      <w:r w:rsidR="000423D5" w:rsidRPr="00296591">
        <w:rPr>
          <w:rFonts w:ascii="Book Antiqua" w:hAnsi="Book Antiqua"/>
          <w:lang w:val="en-ID"/>
        </w:rPr>
        <w:t>the degree to which a corporation achieves profitability</w:t>
      </w:r>
      <w:r w:rsidR="009B01FC" w:rsidRPr="009B01FC">
        <w:rPr>
          <w:rFonts w:ascii="Book Antiqua" w:hAnsi="Book Antiqua"/>
          <w:lang w:val="en-US"/>
        </w:rPr>
        <w:t xml:space="preserve"> and its survival. Companies need to examine and study their financial statements to assess how well they are performing financially, as well as compare the current situation with the previous year to determine if there has been any improvement. From this evaluation, businesses can make decisions for the coming year based on their financial performance.</w:t>
      </w:r>
    </w:p>
    <w:p w14:paraId="5A827DFA" w14:textId="4695A25C" w:rsidR="009B01FC" w:rsidRPr="009B01FC" w:rsidRDefault="003C16D1" w:rsidP="009B01FC">
      <w:pPr>
        <w:jc w:val="both"/>
        <w:rPr>
          <w:rFonts w:ascii="Book Antiqua" w:hAnsi="Book Antiqua"/>
          <w:lang w:val="en-US"/>
        </w:rPr>
      </w:pPr>
      <w:r>
        <w:rPr>
          <w:rFonts w:ascii="Book Antiqua" w:hAnsi="Book Antiqua"/>
          <w:lang w:val="en-US"/>
        </w:rPr>
        <w:tab/>
      </w:r>
      <w:r w:rsidR="009B01FC" w:rsidRPr="009B01FC">
        <w:rPr>
          <w:rFonts w:ascii="Book Antiqua" w:hAnsi="Book Antiqua"/>
          <w:lang w:val="en-US"/>
        </w:rPr>
        <w:t xml:space="preserve">Financial statements are a crucial instrument for conveying financial information to external parties of an organization. The significance of the report cannot be underestimated, as it provides the foundation for various strategic decisions regarding the company's ability to survive. Financial statement analysis is one way to assess financial performance. One type of analysis that can be done to determine </w:t>
      </w:r>
      <w:r w:rsidR="009B01FC" w:rsidRPr="009B01FC">
        <w:rPr>
          <w:rFonts w:ascii="Book Antiqua" w:hAnsi="Book Antiqua"/>
          <w:lang w:val="en-US"/>
        </w:rPr>
        <w:lastRenderedPageBreak/>
        <w:t>whether a company is in prime condition or not is ratio analysis. Financial records for at least two years must be reviewed and compared for this financial performance analysis.</w:t>
      </w:r>
    </w:p>
    <w:p w14:paraId="5B27C74C" w14:textId="75826BE0" w:rsidR="009B01FC" w:rsidRPr="009B01FC" w:rsidRDefault="003C16D1" w:rsidP="009B01FC">
      <w:pPr>
        <w:jc w:val="both"/>
        <w:rPr>
          <w:rFonts w:ascii="Book Antiqua" w:hAnsi="Book Antiqua"/>
          <w:lang w:val="en-US"/>
        </w:rPr>
      </w:pPr>
      <w:r>
        <w:rPr>
          <w:rFonts w:ascii="Book Antiqua" w:hAnsi="Book Antiqua"/>
          <w:lang w:val="en-US"/>
        </w:rPr>
        <w:tab/>
      </w:r>
      <w:r w:rsidR="009B01FC" w:rsidRPr="009B01FC">
        <w:rPr>
          <w:rFonts w:ascii="Book Antiqua" w:hAnsi="Book Antiqua"/>
          <w:lang w:val="en-US"/>
        </w:rPr>
        <w:t xml:space="preserve">PT Charoen Pokphand Indonesia </w:t>
      </w:r>
      <w:proofErr w:type="spellStart"/>
      <w:r w:rsidR="009B01FC" w:rsidRPr="009B01FC">
        <w:rPr>
          <w:rFonts w:ascii="Book Antiqua" w:hAnsi="Book Antiqua"/>
          <w:lang w:val="en-US"/>
        </w:rPr>
        <w:t>Tbk</w:t>
      </w:r>
      <w:proofErr w:type="spellEnd"/>
      <w:r w:rsidR="009B01FC" w:rsidRPr="009B01FC">
        <w:rPr>
          <w:rFonts w:ascii="Book Antiqua" w:hAnsi="Book Antiqua"/>
          <w:lang w:val="en-US"/>
        </w:rPr>
        <w:t xml:space="preserve"> is one of the largest agribusiness companies in Indonesia, operating in the fields of animal feed, poultry, and processed chicken-based foods. The company was founded in 1972 and has become a pioneer in the national animal feed industry with superior products such as broiler feed, day-old chicks (DOC), and various processed food products widely known by the public, including the Fiesta, Champ, and Goldstar brands. As part of the Charoen Pokphand Group, headquartered in Thailand, the company plays a strategic role in supporting the national livestock sector and food security.  As of 2024, PT Charoen Pokphand Indonesia </w:t>
      </w:r>
      <w:proofErr w:type="spellStart"/>
      <w:r w:rsidR="009B01FC" w:rsidRPr="009B01FC">
        <w:rPr>
          <w:rFonts w:ascii="Book Antiqua" w:hAnsi="Book Antiqua"/>
          <w:lang w:val="en-US"/>
        </w:rPr>
        <w:t>Tbk</w:t>
      </w:r>
      <w:proofErr w:type="spellEnd"/>
      <w:r w:rsidR="009B01FC" w:rsidRPr="009B01FC">
        <w:rPr>
          <w:rFonts w:ascii="Book Antiqua" w:hAnsi="Book Antiqua"/>
          <w:lang w:val="en-US"/>
        </w:rPr>
        <w:t xml:space="preserve"> has operated various production facilities throughout Indonesia with a workforce of tens of thousands of people. The company's success in maintaining product quality and operational efficiency has made it a market leader in the domestic agribusiness industry.</w:t>
      </w:r>
    </w:p>
    <w:p w14:paraId="20158288" w14:textId="27716304" w:rsidR="009B01FC" w:rsidRPr="009B01FC" w:rsidRDefault="003C16D1" w:rsidP="009B01FC">
      <w:pPr>
        <w:jc w:val="both"/>
        <w:rPr>
          <w:rFonts w:ascii="Book Antiqua" w:hAnsi="Book Antiqua"/>
          <w:lang w:val="en-US"/>
        </w:rPr>
      </w:pPr>
      <w:r>
        <w:rPr>
          <w:rFonts w:ascii="Book Antiqua" w:hAnsi="Book Antiqua"/>
          <w:lang w:val="en-US"/>
        </w:rPr>
        <w:tab/>
      </w:r>
      <w:r w:rsidR="009B01FC" w:rsidRPr="009B01FC">
        <w:rPr>
          <w:rFonts w:ascii="Book Antiqua" w:hAnsi="Book Antiqua"/>
          <w:lang w:val="en-US"/>
        </w:rPr>
        <w:t>Based on data from the Indonesia Stock Exchange (IDX), the company's stock with the code CPIN is among the top stocks in the consumer and agribusiness sectors. In the period 2015–2024, the company's financial performance showed relatively stable growth, even managing to distribute dividends to shareholders during the COVID-19 pandemic in 2020.  This reflects financial resilience and a good level of liquidity, making it attractive to investors in the capital market.</w:t>
      </w:r>
    </w:p>
    <w:p w14:paraId="270D6E7A" w14:textId="679342DB" w:rsidR="009B01FC" w:rsidRPr="000A1F91" w:rsidRDefault="003C16D1" w:rsidP="00296591">
      <w:pPr>
        <w:jc w:val="both"/>
        <w:rPr>
          <w:rFonts w:ascii="Book Antiqua" w:hAnsi="Book Antiqua"/>
          <w:lang w:val="en-US"/>
        </w:rPr>
      </w:pPr>
      <w:r>
        <w:rPr>
          <w:rFonts w:ascii="Book Antiqua" w:hAnsi="Book Antiqua"/>
          <w:lang w:val="en-US"/>
        </w:rPr>
        <w:tab/>
      </w:r>
      <w:r w:rsidR="009B01FC" w:rsidRPr="009B01FC">
        <w:rPr>
          <w:rFonts w:ascii="Book Antiqua" w:hAnsi="Book Antiqua"/>
          <w:lang w:val="en-US"/>
        </w:rPr>
        <w:t xml:space="preserve">Therefore, this study aims to complement previous studies by evaluating the financial performance of PT Charoen Pokphand Indonesia </w:t>
      </w:r>
      <w:proofErr w:type="spellStart"/>
      <w:r w:rsidR="009B01FC" w:rsidRPr="009B01FC">
        <w:rPr>
          <w:rFonts w:ascii="Book Antiqua" w:hAnsi="Book Antiqua"/>
          <w:lang w:val="en-US"/>
        </w:rPr>
        <w:t>Tbk</w:t>
      </w:r>
      <w:proofErr w:type="spellEnd"/>
      <w:r w:rsidR="009B01FC" w:rsidRPr="009B01FC">
        <w:rPr>
          <w:rFonts w:ascii="Book Antiqua" w:hAnsi="Book Antiqua"/>
          <w:lang w:val="en-US"/>
        </w:rPr>
        <w:t xml:space="preserve"> more deeply thru liquidity ratios, solvency ratios, and the DuPont ratio over the period 2015–2024. </w:t>
      </w:r>
      <w:r w:rsidR="00296591" w:rsidRPr="00296591">
        <w:rPr>
          <w:rFonts w:ascii="Book Antiqua" w:hAnsi="Book Antiqua"/>
          <w:lang w:val="en-ID"/>
        </w:rPr>
        <w:t xml:space="preserve">This study's goal is to investigate </w:t>
      </w:r>
      <w:r w:rsidR="009B01FC" w:rsidRPr="009B01FC">
        <w:rPr>
          <w:rFonts w:ascii="Book Antiqua" w:hAnsi="Book Antiqua"/>
          <w:lang w:val="en-US"/>
        </w:rPr>
        <w:t xml:space="preserve">the liquidity and activity levels of PT Charoen Pokphand Indonesia </w:t>
      </w:r>
      <w:proofErr w:type="spellStart"/>
      <w:r w:rsidR="009B01FC" w:rsidRPr="009B01FC">
        <w:rPr>
          <w:rFonts w:ascii="Book Antiqua" w:hAnsi="Book Antiqua"/>
          <w:lang w:val="en-US"/>
        </w:rPr>
        <w:t>Tbk</w:t>
      </w:r>
      <w:proofErr w:type="spellEnd"/>
      <w:r w:rsidR="009B01FC" w:rsidRPr="009B01FC">
        <w:rPr>
          <w:rFonts w:ascii="Book Antiqua" w:hAnsi="Book Antiqua"/>
          <w:lang w:val="en-US"/>
        </w:rPr>
        <w:t>, and to understand how these two ratios reflect the company's financial performance throughout the study period. The results of this study are expected to provide a more comprehensive view of the company's financial situation and serve as a reference for investors, company management, and other stakeholders in making future financial decisions.</w:t>
      </w:r>
    </w:p>
    <w:p w14:paraId="1BAE271E" w14:textId="1EE9A296" w:rsidR="007E0AE8" w:rsidRPr="000A1F91" w:rsidRDefault="007E0AE8" w:rsidP="000A1F91">
      <w:pPr>
        <w:jc w:val="both"/>
        <w:rPr>
          <w:rFonts w:ascii="Book Antiqua" w:hAnsi="Book Antiqua"/>
          <w:lang w:val="en-US"/>
        </w:rPr>
      </w:pPr>
    </w:p>
    <w:p w14:paraId="031F70A3" w14:textId="6FBC9375" w:rsidR="007E0AE8" w:rsidRPr="000A1F91" w:rsidRDefault="003C16D1" w:rsidP="000A1F91">
      <w:pPr>
        <w:jc w:val="both"/>
        <w:rPr>
          <w:rFonts w:ascii="Book Antiqua" w:hAnsi="Book Antiqua"/>
          <w:b/>
          <w:bCs/>
          <w:lang w:val="en-US"/>
        </w:rPr>
      </w:pPr>
      <w:r w:rsidRPr="003C16D1">
        <w:rPr>
          <w:rFonts w:ascii="Book Antiqua" w:hAnsi="Book Antiqua"/>
          <w:b/>
          <w:bCs/>
          <w:lang w:val="en-US"/>
        </w:rPr>
        <w:t>Theoretical Framework</w:t>
      </w:r>
    </w:p>
    <w:p w14:paraId="477013BC" w14:textId="7254E71D" w:rsidR="003C16D1" w:rsidRPr="003C16D1" w:rsidRDefault="00106E61" w:rsidP="00296591">
      <w:pPr>
        <w:jc w:val="both"/>
        <w:rPr>
          <w:rFonts w:ascii="Book Antiqua" w:hAnsi="Book Antiqua"/>
          <w:lang w:val="en-US"/>
        </w:rPr>
      </w:pPr>
      <w:r w:rsidRPr="000A1F91">
        <w:rPr>
          <w:rFonts w:ascii="Book Antiqua" w:hAnsi="Book Antiqua"/>
          <w:lang w:val="en-US"/>
        </w:rPr>
        <w:tab/>
      </w:r>
      <w:r w:rsidR="00296591" w:rsidRPr="00296591">
        <w:rPr>
          <w:rFonts w:ascii="Book Antiqua" w:hAnsi="Book Antiqua"/>
          <w:lang w:val="en-ID"/>
        </w:rPr>
        <w:t>Financial performance is a measure of a business's financial health over a given time period, including features of revenue gathering and application as well as the business's capacity to turn a profit</w:t>
      </w:r>
      <w:r w:rsidR="003C16D1" w:rsidRPr="003C16D1">
        <w:rPr>
          <w:rFonts w:ascii="Book Antiqua" w:hAnsi="Book Antiqua"/>
          <w:lang w:val="en-US"/>
        </w:rPr>
        <w:t xml:space="preserve">. </w:t>
      </w:r>
      <w:r w:rsidR="00296591">
        <w:rPr>
          <w:rFonts w:ascii="Book Antiqua" w:hAnsi="Book Antiqua"/>
          <w:lang w:val="en-US"/>
        </w:rPr>
        <w:t>Considering</w:t>
      </w:r>
      <w:r w:rsidR="003C16D1" w:rsidRPr="003C16D1">
        <w:rPr>
          <w:rFonts w:ascii="Book Antiqua" w:hAnsi="Book Antiqua"/>
          <w:lang w:val="en-US"/>
        </w:rPr>
        <w:t xml:space="preserve"> Kasmir (2019), financial performance can be assessed thru financial statement analysis using financial ratios as a measuring tool. Financial performance evaluation is very important because it can help management assess the operational effectiveness of the company and provide information for investors in making investment decisions.</w:t>
      </w:r>
    </w:p>
    <w:p w14:paraId="31B1F7ED" w14:textId="442B5B35" w:rsidR="003C16D1" w:rsidRPr="003C16D1" w:rsidRDefault="00296591" w:rsidP="004F04A3">
      <w:pPr>
        <w:jc w:val="both"/>
        <w:rPr>
          <w:rFonts w:ascii="Book Antiqua" w:hAnsi="Book Antiqua"/>
          <w:lang w:val="en-US"/>
        </w:rPr>
      </w:pPr>
      <w:r w:rsidRPr="00296591">
        <w:rPr>
          <w:rFonts w:ascii="Book Antiqua" w:hAnsi="Book Antiqua"/>
          <w:lang w:val="en-ID"/>
        </w:rPr>
        <w:t xml:space="preserve">Liquidity ratios are employed to assess a business's capacity to </w:t>
      </w:r>
      <w:proofErr w:type="spellStart"/>
      <w:r w:rsidRPr="00296591">
        <w:rPr>
          <w:rFonts w:ascii="Book Antiqua" w:hAnsi="Book Antiqua"/>
          <w:lang w:val="en-ID"/>
        </w:rPr>
        <w:t>fulfill</w:t>
      </w:r>
      <w:proofErr w:type="spellEnd"/>
      <w:r w:rsidRPr="00296591">
        <w:rPr>
          <w:rFonts w:ascii="Book Antiqua" w:hAnsi="Book Antiqua"/>
          <w:lang w:val="en-ID"/>
        </w:rPr>
        <w:t xml:space="preserve"> its immediate obligations</w:t>
      </w:r>
      <w:r w:rsidR="003C16D1" w:rsidRPr="003C16D1">
        <w:rPr>
          <w:rFonts w:ascii="Book Antiqua" w:hAnsi="Book Antiqua"/>
          <w:lang w:val="en-US"/>
        </w:rPr>
        <w:t xml:space="preserve">. According to Hery (2020), </w:t>
      </w:r>
      <w:r w:rsidR="004F04A3">
        <w:rPr>
          <w:rFonts w:ascii="Book Antiqua" w:hAnsi="Book Antiqua"/>
          <w:lang w:val="en-ID"/>
        </w:rPr>
        <w:t>l</w:t>
      </w:r>
      <w:r w:rsidR="004F04A3" w:rsidRPr="004F04A3">
        <w:rPr>
          <w:rFonts w:ascii="Book Antiqua" w:hAnsi="Book Antiqua"/>
          <w:lang w:val="en-ID"/>
        </w:rPr>
        <w:t>iquidity ratios show how well the present assets of a business can pay off its debts at the moment. The current ratio, quick ratio, and cash ratio are all frequently utilized ratios</w:t>
      </w:r>
      <w:r w:rsidR="003C16D1" w:rsidRPr="003C16D1">
        <w:rPr>
          <w:rFonts w:ascii="Book Antiqua" w:hAnsi="Book Antiqua"/>
          <w:lang w:val="en-US"/>
        </w:rPr>
        <w:t xml:space="preserve">. </w:t>
      </w:r>
      <w:r w:rsidR="004F04A3" w:rsidRPr="004F04A3">
        <w:rPr>
          <w:rFonts w:ascii="Book Antiqua" w:hAnsi="Book Antiqua"/>
          <w:lang w:val="en-ID"/>
        </w:rPr>
        <w:t>The solvency ratio serves to evaluate the extent to which a company can meet its long-term liabilities</w:t>
      </w:r>
      <w:r w:rsidR="003C16D1" w:rsidRPr="003C16D1">
        <w:rPr>
          <w:rFonts w:ascii="Book Antiqua" w:hAnsi="Book Antiqua"/>
          <w:lang w:val="en-US"/>
        </w:rPr>
        <w:t xml:space="preserve"> and maintain the </w:t>
      </w:r>
      <w:r w:rsidR="003C16D1" w:rsidRPr="003C16D1">
        <w:rPr>
          <w:rFonts w:ascii="Book Antiqua" w:hAnsi="Book Antiqua"/>
          <w:lang w:val="en-US"/>
        </w:rPr>
        <w:lastRenderedPageBreak/>
        <w:t>stability of its capital structure. According to Hery (2020), these ratios indicate the company's financial risk level in relation to debt and its ability to survive in crisis conditions. Commonly used ratios include the Debt to Asset Ratio (DAR) and the Debt to Equity Ratio (DER). A high solvency ratio indicates that the company is capable of financing its operations and long-term obligations with an adequate proportion of its own capital.</w:t>
      </w:r>
    </w:p>
    <w:p w14:paraId="28793ECE" w14:textId="46EBB42A" w:rsidR="00160BEC" w:rsidRPr="000A1F91" w:rsidRDefault="003C16D1" w:rsidP="000A1F91">
      <w:pPr>
        <w:jc w:val="both"/>
        <w:rPr>
          <w:rFonts w:ascii="Book Antiqua" w:hAnsi="Book Antiqua"/>
          <w:lang w:val="en-US"/>
        </w:rPr>
      </w:pPr>
      <w:r w:rsidRPr="003C16D1">
        <w:rPr>
          <w:rFonts w:ascii="Book Antiqua" w:hAnsi="Book Antiqua"/>
          <w:lang w:val="en-US"/>
        </w:rPr>
        <w:t>The DuPont ratio (DuPont Analysis) is a method of financial performance analysis developed by the DuPont Corporation. This analysis is used to comprehensively measure a company's profitability by breaking down Return on Equity (ROE) into several key components, making it easier to identify the factors influencing financial performance.</w:t>
      </w:r>
      <w:r>
        <w:rPr>
          <w:rFonts w:ascii="Book Antiqua" w:hAnsi="Book Antiqua"/>
          <w:lang w:val="en-US"/>
        </w:rPr>
        <w:t xml:space="preserve"> </w:t>
      </w:r>
    </w:p>
    <w:p w14:paraId="26F255CD" w14:textId="77777777" w:rsidR="007E0AE8" w:rsidRPr="000A1F91" w:rsidRDefault="007E0AE8" w:rsidP="000A1F91">
      <w:pPr>
        <w:jc w:val="both"/>
        <w:rPr>
          <w:rFonts w:ascii="Book Antiqua" w:hAnsi="Book Antiqua"/>
          <w:lang w:val="en-US"/>
        </w:rPr>
      </w:pPr>
    </w:p>
    <w:p w14:paraId="39D26C1F" w14:textId="2CED98C4" w:rsidR="007E0AE8" w:rsidRPr="000A1F91" w:rsidRDefault="003C16D1" w:rsidP="000A1F91">
      <w:pPr>
        <w:jc w:val="both"/>
        <w:rPr>
          <w:rFonts w:ascii="Book Antiqua" w:hAnsi="Book Antiqua"/>
          <w:b/>
          <w:bCs/>
          <w:lang w:val="en-US"/>
        </w:rPr>
      </w:pPr>
      <w:r w:rsidRPr="003C16D1">
        <w:rPr>
          <w:rFonts w:ascii="Book Antiqua" w:hAnsi="Book Antiqua"/>
          <w:b/>
          <w:bCs/>
          <w:lang w:val="en-US"/>
        </w:rPr>
        <w:t>Method</w:t>
      </w:r>
    </w:p>
    <w:p w14:paraId="2E93111D" w14:textId="6EF0499E" w:rsidR="00F926EF" w:rsidRPr="00125594" w:rsidRDefault="0099230A" w:rsidP="000A1F91">
      <w:pPr>
        <w:jc w:val="both"/>
        <w:rPr>
          <w:rFonts w:ascii="Book Antiqua" w:eastAsiaTheme="minorEastAsia" w:hAnsi="Book Antiqua" w:cs="Segoe UI"/>
          <w:spacing w:val="2"/>
          <w:lang w:val="en-ID" w:eastAsia="zh-CN"/>
        </w:rPr>
      </w:pPr>
      <w:r w:rsidRPr="00125594">
        <w:rPr>
          <w:rFonts w:ascii="Book Antiqua" w:eastAsiaTheme="minorEastAsia" w:hAnsi="Book Antiqua" w:cs="Segoe UI"/>
          <w:spacing w:val="2"/>
          <w:lang w:val="en-ID" w:eastAsia="zh-CN"/>
        </w:rPr>
        <w:tab/>
      </w:r>
      <w:r w:rsidR="003C16D1" w:rsidRPr="00125594">
        <w:rPr>
          <w:rFonts w:ascii="Book Antiqua" w:eastAsiaTheme="minorEastAsia" w:hAnsi="Book Antiqua" w:cs="Segoe UI"/>
          <w:spacing w:val="2"/>
          <w:lang w:val="en-ID" w:eastAsia="zh-CN"/>
        </w:rPr>
        <w:t xml:space="preserve">This research uses a quantitative descriptive approach, which is a method aimed at describing the company's financial performance based on the results of financial ratio calculations during the research period. This approach was chosen because the data used consists of financial figures sourced from the company's annual financial statements, which were then </w:t>
      </w:r>
      <w:proofErr w:type="spellStart"/>
      <w:r w:rsidR="003C16D1" w:rsidRPr="00125594">
        <w:rPr>
          <w:rFonts w:ascii="Book Antiqua" w:eastAsiaTheme="minorEastAsia" w:hAnsi="Book Antiqua" w:cs="Segoe UI"/>
          <w:spacing w:val="2"/>
          <w:lang w:val="en-ID" w:eastAsia="zh-CN"/>
        </w:rPr>
        <w:t>analyzed</w:t>
      </w:r>
      <w:proofErr w:type="spellEnd"/>
      <w:r w:rsidR="003C16D1" w:rsidRPr="00125594">
        <w:rPr>
          <w:rFonts w:ascii="Book Antiqua" w:eastAsiaTheme="minorEastAsia" w:hAnsi="Book Antiqua" w:cs="Segoe UI"/>
          <w:spacing w:val="2"/>
          <w:lang w:val="en-ID" w:eastAsia="zh-CN"/>
        </w:rPr>
        <w:t xml:space="preserve"> using calculations of liquidity ratios, solvency ratios, and the DuPont ratio. The data used is secondary data, namely the company's annual financial statements that have been published and are publicly available. The data was taken from the financial statement documents of PT Charoen Pokphand Indonesia </w:t>
      </w:r>
      <w:proofErr w:type="spellStart"/>
      <w:r w:rsidR="003C16D1" w:rsidRPr="00125594">
        <w:rPr>
          <w:rFonts w:ascii="Book Antiqua" w:eastAsiaTheme="minorEastAsia" w:hAnsi="Book Antiqua" w:cs="Segoe UI"/>
          <w:spacing w:val="2"/>
          <w:lang w:val="en-ID" w:eastAsia="zh-CN"/>
        </w:rPr>
        <w:t>Tbk</w:t>
      </w:r>
      <w:proofErr w:type="spellEnd"/>
      <w:r w:rsidR="003C16D1" w:rsidRPr="00125594">
        <w:rPr>
          <w:rFonts w:ascii="Book Antiqua" w:eastAsiaTheme="minorEastAsia" w:hAnsi="Book Antiqua" w:cs="Segoe UI"/>
          <w:spacing w:val="2"/>
          <w:lang w:val="en-ID" w:eastAsia="zh-CN"/>
        </w:rPr>
        <w:t xml:space="preserve"> for the period 2015–2024, obtained thru the link: </w:t>
      </w:r>
      <w:hyperlink r:id="rId9" w:history="1">
        <w:r w:rsidR="003C16D1" w:rsidRPr="00125594">
          <w:rPr>
            <w:rStyle w:val="Hyperlink"/>
            <w:rFonts w:ascii="Book Antiqua" w:eastAsiaTheme="minorEastAsia" w:hAnsi="Book Antiqua" w:cs="Segoe UI"/>
            <w:spacing w:val="2"/>
            <w:lang w:val="en-ID" w:eastAsia="zh-CN"/>
          </w:rPr>
          <w:t>https:</w:t>
        </w:r>
        <w:r w:rsidR="003C16D1" w:rsidRPr="0019281C">
          <w:rPr>
            <w:rStyle w:val="Hyperlink"/>
            <w:rFonts w:ascii="Book Antiqua" w:eastAsiaTheme="minorEastAsia" w:hAnsi="Book Antiqua" w:cs="Segoe UI"/>
            <w:spacing w:val="2"/>
            <w:lang w:val="en-US" w:eastAsia="zh-CN"/>
          </w:rPr>
          <w:t>//</w:t>
        </w:r>
        <w:r w:rsidR="003C16D1" w:rsidRPr="00125594">
          <w:rPr>
            <w:rStyle w:val="Hyperlink"/>
            <w:rFonts w:ascii="Book Antiqua" w:eastAsiaTheme="minorEastAsia" w:hAnsi="Book Antiqua" w:cs="Segoe UI"/>
            <w:spacing w:val="2"/>
            <w:lang w:val="en-ID" w:eastAsia="zh-CN"/>
          </w:rPr>
          <w:t>share.google/qBgXG3F4A04uPEwCS</w:t>
        </w:r>
      </w:hyperlink>
      <w:r w:rsidR="003C16D1">
        <w:rPr>
          <w:rFonts w:ascii="Book Antiqua" w:eastAsiaTheme="minorEastAsia" w:hAnsi="Book Antiqua" w:cs="Segoe UI"/>
          <w:spacing w:val="2"/>
          <w:lang w:val="en-US" w:eastAsia="zh-CN"/>
        </w:rPr>
        <w:t xml:space="preserve"> </w:t>
      </w:r>
      <w:r w:rsidR="003C16D1" w:rsidRPr="00125594">
        <w:rPr>
          <w:rFonts w:ascii="Book Antiqua" w:eastAsiaTheme="minorEastAsia" w:hAnsi="Book Antiqua" w:cs="Segoe UI"/>
          <w:spacing w:val="2"/>
          <w:lang w:val="en-ID" w:eastAsia="zh-CN"/>
        </w:rPr>
        <w:t xml:space="preserve">and verified with data available at </w:t>
      </w:r>
      <w:hyperlink r:id="rId10" w:history="1">
        <w:r w:rsidR="003C16D1" w:rsidRPr="00125594">
          <w:rPr>
            <w:rStyle w:val="Hyperlink"/>
            <w:rFonts w:ascii="Book Antiqua" w:eastAsiaTheme="minorEastAsia" w:hAnsi="Book Antiqua" w:cs="Segoe UI"/>
            <w:spacing w:val="2"/>
            <w:lang w:val="en-ID" w:eastAsia="zh-CN"/>
          </w:rPr>
          <w:t>www.idx.co.id</w:t>
        </w:r>
      </w:hyperlink>
      <w:r w:rsidR="003C16D1">
        <w:rPr>
          <w:rFonts w:ascii="Book Antiqua" w:eastAsiaTheme="minorEastAsia" w:hAnsi="Book Antiqua" w:cs="Segoe UI"/>
          <w:spacing w:val="2"/>
          <w:lang w:val="en-US" w:eastAsia="zh-CN"/>
        </w:rPr>
        <w:t xml:space="preserve"> </w:t>
      </w:r>
      <w:r w:rsidR="003C16D1" w:rsidRPr="00125594">
        <w:rPr>
          <w:rFonts w:ascii="Book Antiqua" w:eastAsiaTheme="minorEastAsia" w:hAnsi="Book Antiqua" w:cs="Segoe UI"/>
          <w:spacing w:val="2"/>
          <w:lang w:val="en-ID" w:eastAsia="zh-CN"/>
        </w:rPr>
        <w:t xml:space="preserve">and the company's official website </w:t>
      </w:r>
      <w:hyperlink r:id="rId11" w:history="1">
        <w:r w:rsidR="003C16D1" w:rsidRPr="00125594">
          <w:rPr>
            <w:rStyle w:val="Hyperlink"/>
            <w:rFonts w:ascii="Book Antiqua" w:eastAsiaTheme="minorEastAsia" w:hAnsi="Book Antiqua" w:cs="Segoe UI"/>
            <w:spacing w:val="2"/>
            <w:lang w:val="en-ID" w:eastAsia="zh-CN"/>
          </w:rPr>
          <w:t>www.cp.co.id</w:t>
        </w:r>
      </w:hyperlink>
      <w:r w:rsidR="003C16D1">
        <w:rPr>
          <w:rFonts w:ascii="Book Antiqua" w:eastAsiaTheme="minorEastAsia" w:hAnsi="Book Antiqua" w:cs="Segoe UI"/>
          <w:spacing w:val="2"/>
          <w:lang w:val="en-US" w:eastAsia="zh-CN"/>
        </w:rPr>
        <w:t xml:space="preserve"> </w:t>
      </w:r>
      <w:r w:rsidR="003C16D1" w:rsidRPr="00125594">
        <w:rPr>
          <w:rFonts w:ascii="Book Antiqua" w:eastAsiaTheme="minorEastAsia" w:hAnsi="Book Antiqua" w:cs="Segoe UI"/>
          <w:spacing w:val="2"/>
          <w:lang w:val="en-ID" w:eastAsia="zh-CN"/>
        </w:rPr>
        <w:t>Data collection techniques were carried out using the documentation method, which involves collecting the company's financial position statements (balance sheets) and income statements for each year during the research period.</w:t>
      </w:r>
      <w:r w:rsidR="003C16D1">
        <w:rPr>
          <w:rFonts w:ascii="Book Antiqua" w:eastAsiaTheme="minorEastAsia" w:hAnsi="Book Antiqua" w:cs="Segoe UI"/>
          <w:spacing w:val="2"/>
          <w:lang w:val="en-US" w:eastAsia="zh-CN"/>
        </w:rPr>
        <w:t xml:space="preserve"> </w:t>
      </w:r>
    </w:p>
    <w:p w14:paraId="4E015C18" w14:textId="676AA7FD" w:rsidR="004138A5" w:rsidRPr="000A1F91" w:rsidRDefault="00F926EF" w:rsidP="000A1F91">
      <w:pPr>
        <w:jc w:val="both"/>
        <w:rPr>
          <w:rFonts w:ascii="Book Antiqua" w:hAnsi="Book Antiqua"/>
          <w:lang w:val="en-US"/>
        </w:rPr>
      </w:pPr>
      <w:r w:rsidRPr="000A1F91">
        <w:rPr>
          <w:rFonts w:ascii="Book Antiqua" w:hAnsi="Book Antiqua"/>
          <w:lang w:val="en-US"/>
        </w:rPr>
        <w:tab/>
      </w:r>
    </w:p>
    <w:p w14:paraId="1738DF97" w14:textId="5231D395" w:rsidR="007E0AE8" w:rsidRPr="000A1F91" w:rsidRDefault="007E0AE8" w:rsidP="000A1F91">
      <w:pPr>
        <w:jc w:val="both"/>
        <w:rPr>
          <w:rFonts w:ascii="Book Antiqua" w:hAnsi="Book Antiqua"/>
          <w:lang w:val="en-US"/>
        </w:rPr>
      </w:pPr>
    </w:p>
    <w:p w14:paraId="7BE65F1F" w14:textId="422FF8D0" w:rsidR="007E0AE8" w:rsidRPr="000A1F91" w:rsidRDefault="003C16D1" w:rsidP="000A1F91">
      <w:pPr>
        <w:jc w:val="both"/>
        <w:rPr>
          <w:rFonts w:ascii="Book Antiqua" w:hAnsi="Book Antiqua"/>
          <w:b/>
          <w:bCs/>
          <w:lang w:val="en-US"/>
        </w:rPr>
      </w:pPr>
      <w:r w:rsidRPr="003C16D1">
        <w:rPr>
          <w:rFonts w:ascii="Book Antiqua" w:hAnsi="Book Antiqua"/>
          <w:b/>
          <w:bCs/>
          <w:lang w:val="en-US"/>
        </w:rPr>
        <w:t>Results</w:t>
      </w:r>
    </w:p>
    <w:p w14:paraId="03F6ED5A" w14:textId="13D0AA8C" w:rsidR="007E0AE8" w:rsidRDefault="000671CF" w:rsidP="000A1F91">
      <w:pPr>
        <w:jc w:val="both"/>
        <w:rPr>
          <w:rFonts w:ascii="Book Antiqua" w:hAnsi="Book Antiqua"/>
          <w:b/>
          <w:bCs/>
          <w:lang w:val="en-US"/>
        </w:rPr>
      </w:pPr>
      <w:r w:rsidRPr="000671CF">
        <w:rPr>
          <w:rFonts w:ascii="Book Antiqua" w:hAnsi="Book Antiqua"/>
          <w:b/>
          <w:bCs/>
          <w:lang w:val="en-US"/>
        </w:rPr>
        <w:t>Liquidity Ratio Calculation</w:t>
      </w:r>
    </w:p>
    <w:p w14:paraId="123E54F4" w14:textId="5139A06C" w:rsidR="000671CF" w:rsidRDefault="004924F3" w:rsidP="00AA7476">
      <w:pPr>
        <w:pStyle w:val="ListParagraph"/>
        <w:numPr>
          <w:ilvl w:val="0"/>
          <w:numId w:val="7"/>
        </w:numPr>
        <w:spacing w:before="100" w:beforeAutospacing="1" w:after="100" w:afterAutospacing="1"/>
        <w:jc w:val="both"/>
        <w:rPr>
          <w:rFonts w:ascii="Book Antiqua" w:hAnsi="Book Antiqua"/>
          <w:lang w:val="en-US"/>
        </w:rPr>
      </w:pPr>
      <w:r w:rsidRPr="004924F3">
        <w:rPr>
          <w:rFonts w:ascii="Book Antiqua" w:hAnsi="Book Antiqua"/>
          <w:b/>
          <w:bCs/>
          <w:lang w:val="en-US"/>
        </w:rPr>
        <w:t xml:space="preserve">Current Ratio (CR), </w:t>
      </w:r>
      <w:r w:rsidRPr="004924F3">
        <w:rPr>
          <w:rFonts w:ascii="Book Antiqua" w:hAnsi="Book Antiqua"/>
          <w:lang w:val="en-US"/>
        </w:rPr>
        <w:t xml:space="preserve">or </w:t>
      </w:r>
      <w:r w:rsidR="00AA7476" w:rsidRPr="00AA7476">
        <w:rPr>
          <w:rFonts w:ascii="Book Antiqua" w:hAnsi="Book Antiqua"/>
          <w:lang w:val="en-ID"/>
        </w:rPr>
        <w:t>liquidity ratio represents a company’s ability to discharge its short-term obligations by utilizing its current assets. It is derived from dividing total current assets by total current liabilities</w:t>
      </w:r>
      <w:r w:rsidRPr="004924F3">
        <w:rPr>
          <w:rFonts w:ascii="Book Antiqua" w:hAnsi="Book Antiqua"/>
          <w:lang w:val="en-US"/>
        </w:rPr>
        <w:t xml:space="preserve"> and a value greater than 1 indicates a good ability to repay debts.</w:t>
      </w:r>
    </w:p>
    <w:p w14:paraId="2FEF0185" w14:textId="6E496592" w:rsidR="00662B11" w:rsidRPr="000A1F91" w:rsidRDefault="00221870" w:rsidP="00974C01">
      <w:pPr>
        <w:pStyle w:val="ListParagraph"/>
        <w:spacing w:before="100" w:beforeAutospacing="1" w:after="100" w:afterAutospacing="1"/>
        <w:jc w:val="both"/>
        <w:rPr>
          <w:rFonts w:ascii="Book Antiqua" w:hAnsi="Book Antiqua"/>
          <w:lang w:val="en-US"/>
        </w:rPr>
      </w:pPr>
      <w:r w:rsidRPr="00221870">
        <w:rPr>
          <w:rFonts w:ascii="Book Antiqua" w:hAnsi="Book Antiqua"/>
          <w:lang w:val="en-US"/>
        </w:rPr>
        <w:t xml:space="preserve">Current Ratio = </w:t>
      </w:r>
      <m:oMath>
        <m:f>
          <m:fPr>
            <m:ctrlPr>
              <w:rPr>
                <w:rFonts w:ascii="Cambria Math" w:hAnsi="Cambria Math"/>
                <w:i/>
                <w:lang w:val="en-US"/>
              </w:rPr>
            </m:ctrlPr>
          </m:fPr>
          <m:num>
            <m:r>
              <w:rPr>
                <w:rFonts w:ascii="Cambria Math" w:hAnsi="Cambria Math"/>
                <w:lang w:val="en-US"/>
              </w:rPr>
              <m:t>Current assets</m:t>
            </m:r>
          </m:num>
          <m:den>
            <m:r>
              <w:rPr>
                <w:rFonts w:ascii="Cambria Math" w:hAnsi="Cambria Math"/>
                <w:lang w:val="en-US"/>
              </w:rPr>
              <m:t>current liabilities</m:t>
            </m:r>
          </m:den>
        </m:f>
      </m:oMath>
      <w:r>
        <w:rPr>
          <w:rFonts w:ascii="Book Antiqua" w:hAnsi="Book Antiqua"/>
          <w:lang w:val="en-US"/>
        </w:rPr>
        <w:t xml:space="preserve"> x 100%</w:t>
      </w:r>
    </w:p>
    <w:p w14:paraId="24A3B429" w14:textId="134518E7" w:rsidR="00662B11" w:rsidRPr="00221870" w:rsidRDefault="00974C01" w:rsidP="000A1F91">
      <w:pPr>
        <w:pStyle w:val="Caption"/>
        <w:jc w:val="center"/>
        <w:rPr>
          <w:rFonts w:ascii="Book Antiqua" w:hAnsi="Book Antiqua"/>
          <w:b/>
          <w:bCs/>
          <w:i w:val="0"/>
          <w:iCs w:val="0"/>
          <w:color w:val="auto"/>
          <w:sz w:val="24"/>
          <w:szCs w:val="24"/>
          <w:lang w:val="en-US"/>
        </w:rPr>
      </w:pPr>
      <w:r>
        <w:rPr>
          <w:rFonts w:ascii="Book Antiqua" w:hAnsi="Book Antiqua"/>
          <w:noProof/>
          <w:lang w:val="en-US"/>
        </w:rPr>
        <w:drawing>
          <wp:anchor distT="0" distB="0" distL="114300" distR="114300" simplePos="0" relativeHeight="251658240" behindDoc="0" locked="0" layoutInCell="1" allowOverlap="1" wp14:anchorId="68DE8433" wp14:editId="6F726586">
            <wp:simplePos x="0" y="0"/>
            <wp:positionH relativeFrom="margin">
              <wp:posOffset>285750</wp:posOffset>
            </wp:positionH>
            <wp:positionV relativeFrom="paragraph">
              <wp:posOffset>189230</wp:posOffset>
            </wp:positionV>
            <wp:extent cx="4972050" cy="1289071"/>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7405" cy="1293052"/>
                    </a:xfrm>
                    <a:prstGeom prst="rect">
                      <a:avLst/>
                    </a:prstGeom>
                    <a:noFill/>
                  </pic:spPr>
                </pic:pic>
              </a:graphicData>
            </a:graphic>
            <wp14:sizeRelH relativeFrom="margin">
              <wp14:pctWidth>0</wp14:pctWidth>
            </wp14:sizeRelH>
            <wp14:sizeRelV relativeFrom="margin">
              <wp14:pctHeight>0</wp14:pctHeight>
            </wp14:sizeRelV>
          </wp:anchor>
        </w:drawing>
      </w:r>
      <w:r w:rsidR="00221870" w:rsidRPr="00125594">
        <w:rPr>
          <w:rFonts w:ascii="Book Antiqua" w:hAnsi="Book Antiqua"/>
          <w:b/>
          <w:bCs/>
          <w:i w:val="0"/>
          <w:iCs w:val="0"/>
          <w:color w:val="auto"/>
          <w:sz w:val="24"/>
          <w:szCs w:val="24"/>
          <w:lang w:val="en-ID"/>
        </w:rPr>
        <w:t>Table 1. Calculation of Current Ratio for the Years 2015-</w:t>
      </w:r>
      <w:r w:rsidR="00221870">
        <w:rPr>
          <w:rFonts w:ascii="Book Antiqua" w:hAnsi="Book Antiqua"/>
          <w:b/>
          <w:bCs/>
          <w:i w:val="0"/>
          <w:iCs w:val="0"/>
          <w:color w:val="auto"/>
          <w:sz w:val="24"/>
          <w:szCs w:val="24"/>
          <w:lang w:val="en-US"/>
        </w:rPr>
        <w:t>2024</w:t>
      </w:r>
    </w:p>
    <w:p w14:paraId="6DF3B5F4" w14:textId="7D0BF8E3" w:rsidR="007576BD" w:rsidRPr="000A1F91" w:rsidRDefault="007576BD" w:rsidP="000A1F91">
      <w:pPr>
        <w:jc w:val="both"/>
        <w:rPr>
          <w:rFonts w:ascii="Book Antiqua" w:hAnsi="Book Antiqua"/>
          <w:lang w:val="en-US"/>
        </w:rPr>
      </w:pPr>
    </w:p>
    <w:p w14:paraId="21DC5090" w14:textId="16362874" w:rsidR="007576BD" w:rsidRPr="000A1F91" w:rsidRDefault="007576BD" w:rsidP="000A1F91">
      <w:pPr>
        <w:jc w:val="both"/>
        <w:rPr>
          <w:rFonts w:ascii="Book Antiqua" w:hAnsi="Book Antiqua"/>
          <w:lang w:val="en-US"/>
        </w:rPr>
      </w:pPr>
    </w:p>
    <w:p w14:paraId="7C41BA62" w14:textId="60621A45" w:rsidR="007576BD" w:rsidRPr="000A1F91" w:rsidRDefault="007576BD" w:rsidP="000A1F91">
      <w:pPr>
        <w:jc w:val="both"/>
        <w:rPr>
          <w:rFonts w:ascii="Book Antiqua" w:hAnsi="Book Antiqua"/>
          <w:lang w:val="en-US"/>
        </w:rPr>
      </w:pPr>
    </w:p>
    <w:p w14:paraId="6E0717A6" w14:textId="21233524" w:rsidR="007576BD" w:rsidRPr="000A1F91" w:rsidRDefault="007576BD" w:rsidP="000A1F91">
      <w:pPr>
        <w:jc w:val="both"/>
        <w:rPr>
          <w:rFonts w:ascii="Book Antiqua" w:hAnsi="Book Antiqua"/>
          <w:lang w:val="en-US"/>
        </w:rPr>
      </w:pPr>
    </w:p>
    <w:p w14:paraId="2FF6B5B4" w14:textId="68510AFE" w:rsidR="00974C01" w:rsidRDefault="00974C01" w:rsidP="00974C01">
      <w:pPr>
        <w:jc w:val="both"/>
        <w:rPr>
          <w:rFonts w:ascii="Book Antiqua" w:hAnsi="Book Antiqua"/>
          <w:lang w:val="en-US"/>
        </w:rPr>
      </w:pPr>
      <w:bookmarkStart w:id="0" w:name="_Hlk212732745"/>
      <w:r>
        <w:rPr>
          <w:rFonts w:ascii="Book Antiqua" w:hAnsi="Book Antiqua"/>
          <w:lang w:val="en-US"/>
        </w:rPr>
        <w:lastRenderedPageBreak/>
        <w:tab/>
      </w:r>
      <w:r w:rsidRPr="00974C01">
        <w:rPr>
          <w:rFonts w:ascii="Book Antiqua" w:hAnsi="Book Antiqua"/>
          <w:lang w:val="en-US"/>
        </w:rPr>
        <w:t xml:space="preserve">Based on the table above, the Current Ratio describes a company's ability to meet its short-term obligations using all of its current assets. Based on the analysis results for the period 2015–2024, this ratio shows an average value of 236.11%, which means that every Rp1 of current liabilities can be covered by Rp2.36 of current assets. This value is above the industry standard of approximately 200%, indicating that the company's liquidity condition is very good. The significant increase observed in 2018–2019 indicates efficiency in managing current assets, while the decrease observed in 2021–2023 reflects a possible increase in current liabilities or a decrease in cash and accounts receivable balances. Nevertheless, because the ratio in the 2021–2023 period is close to or slightly below industry standards, it can be concluded that the company's liquidity level during that period was less than optimal. This indicates that PT Charoen Pokphand Indonesia </w:t>
      </w:r>
      <w:proofErr w:type="spellStart"/>
      <w:r w:rsidRPr="00974C01">
        <w:rPr>
          <w:rFonts w:ascii="Book Antiqua" w:hAnsi="Book Antiqua"/>
          <w:lang w:val="en-US"/>
        </w:rPr>
        <w:t>Tbk</w:t>
      </w:r>
      <w:proofErr w:type="spellEnd"/>
      <w:r w:rsidRPr="00974C01">
        <w:rPr>
          <w:rFonts w:ascii="Book Antiqua" w:hAnsi="Book Antiqua"/>
          <w:lang w:val="en-US"/>
        </w:rPr>
        <w:t xml:space="preserve"> needs to improve its cash and receivables management capabilities to maintain strong liquidity in the future.</w:t>
      </w:r>
      <w:r>
        <w:rPr>
          <w:rFonts w:ascii="Book Antiqua" w:hAnsi="Book Antiqua"/>
          <w:lang w:val="en-US"/>
        </w:rPr>
        <w:t xml:space="preserve"> </w:t>
      </w:r>
      <w:bookmarkEnd w:id="0"/>
    </w:p>
    <w:p w14:paraId="39540BAF" w14:textId="77777777" w:rsidR="00974C01" w:rsidRDefault="00974C01" w:rsidP="00974C01">
      <w:pPr>
        <w:jc w:val="both"/>
        <w:rPr>
          <w:rFonts w:ascii="Book Antiqua" w:hAnsi="Book Antiqua"/>
          <w:lang w:val="en-US"/>
        </w:rPr>
      </w:pPr>
    </w:p>
    <w:p w14:paraId="7191F147" w14:textId="5C199F9C" w:rsidR="00E12EB7" w:rsidRPr="00974C01" w:rsidRDefault="00974C01" w:rsidP="00974C01">
      <w:pPr>
        <w:pStyle w:val="ListParagraph"/>
        <w:numPr>
          <w:ilvl w:val="0"/>
          <w:numId w:val="7"/>
        </w:numPr>
        <w:jc w:val="both"/>
        <w:rPr>
          <w:rFonts w:ascii="Book Antiqua" w:eastAsia="Times New Roman" w:hAnsi="Book Antiqua" w:cs="Times New Roman"/>
          <w:lang w:val="en-US"/>
        </w:rPr>
      </w:pPr>
      <w:r w:rsidRPr="00974C01">
        <w:rPr>
          <w:rFonts w:ascii="Book Antiqua" w:eastAsia="Times New Roman" w:hAnsi="Book Antiqua" w:cs="Times New Roman"/>
          <w:b/>
          <w:bCs/>
          <w:lang w:val="en-US"/>
        </w:rPr>
        <w:t xml:space="preserve">Quick Ratio, </w:t>
      </w:r>
      <w:r w:rsidRPr="00974C01">
        <w:rPr>
          <w:rFonts w:ascii="Book Antiqua" w:eastAsia="Times New Roman" w:hAnsi="Book Antiqua" w:cs="Times New Roman"/>
          <w:lang w:val="en-US"/>
        </w:rPr>
        <w:t>also known as the acid-test ratio, is a liquidity ratio that measures a company's ability to pay its short-term debts using its most liquid assets (those easily converted to cash), excluding inventory. This ratio is also known as the acid-test ratio and provides a picture of a company's short-term financial health without relying on the sale of inventory.</w:t>
      </w:r>
      <w:r>
        <w:rPr>
          <w:rFonts w:ascii="Book Antiqua" w:eastAsia="Times New Roman" w:hAnsi="Book Antiqua" w:cs="Times New Roman"/>
          <w:b/>
          <w:bCs/>
          <w:lang w:val="en-US"/>
        </w:rPr>
        <w:t xml:space="preserve"> </w:t>
      </w:r>
    </w:p>
    <w:p w14:paraId="5E0D14AA" w14:textId="51C2D4A7" w:rsidR="00974C01" w:rsidRDefault="00974C01" w:rsidP="00974C01">
      <w:pPr>
        <w:pStyle w:val="ListParagraph"/>
        <w:jc w:val="both"/>
        <w:rPr>
          <w:rFonts w:ascii="Book Antiqua" w:eastAsia="Times New Roman" w:hAnsi="Book Antiqua" w:cs="Times New Roman"/>
          <w:lang w:val="en-US"/>
        </w:rPr>
      </w:pPr>
      <w:r w:rsidRPr="00974C01">
        <w:rPr>
          <w:rFonts w:ascii="Book Antiqua" w:eastAsia="Times New Roman" w:hAnsi="Book Antiqua" w:cs="Times New Roman"/>
          <w:lang w:val="en-US"/>
        </w:rPr>
        <w:t xml:space="preserve">Quick Ratio = </w:t>
      </w: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current assets-Inventory</m:t>
            </m:r>
          </m:num>
          <m:den>
            <m:r>
              <w:rPr>
                <w:rFonts w:ascii="Cambria Math" w:eastAsia="Times New Roman" w:hAnsi="Cambria Math" w:cs="Times New Roman"/>
                <w:lang w:val="en-US"/>
              </w:rPr>
              <m:t>Current liabilities</m:t>
            </m:r>
          </m:den>
        </m:f>
        <m:r>
          <w:rPr>
            <w:rFonts w:ascii="Cambria Math" w:eastAsia="Times New Roman" w:hAnsi="Cambria Math" w:cs="Times New Roman"/>
            <w:lang w:val="en-US"/>
          </w:rPr>
          <m:t xml:space="preserve"> x 100%</m:t>
        </m:r>
      </m:oMath>
    </w:p>
    <w:p w14:paraId="3A64E88E" w14:textId="39187912" w:rsidR="00974C01" w:rsidRDefault="00974C01" w:rsidP="00974C01">
      <w:pPr>
        <w:pStyle w:val="ListParagraph"/>
        <w:jc w:val="both"/>
        <w:rPr>
          <w:rFonts w:ascii="Book Antiqua" w:eastAsia="Times New Roman" w:hAnsi="Book Antiqua" w:cs="Times New Roman"/>
          <w:lang w:val="en-US"/>
        </w:rPr>
      </w:pPr>
    </w:p>
    <w:p w14:paraId="72D156BB" w14:textId="627FE89E" w:rsidR="00974C01" w:rsidRPr="00974C01" w:rsidRDefault="00974C01" w:rsidP="00974C01">
      <w:pPr>
        <w:pStyle w:val="ListParagraph"/>
        <w:jc w:val="center"/>
        <w:rPr>
          <w:rFonts w:ascii="Book Antiqua" w:eastAsia="Times New Roman" w:hAnsi="Book Antiqua" w:cs="Times New Roman"/>
          <w:lang w:val="en-US"/>
        </w:rPr>
      </w:pPr>
      <w:r w:rsidRPr="00974C01">
        <w:rPr>
          <w:rFonts w:ascii="Book Antiqua" w:eastAsia="Times New Roman" w:hAnsi="Book Antiqua" w:cs="Times New Roman"/>
          <w:b/>
          <w:bCs/>
          <w:lang w:val="en-US"/>
        </w:rPr>
        <w:t>Table 2.</w:t>
      </w:r>
      <w:r w:rsidRPr="00974C01">
        <w:rPr>
          <w:rFonts w:ascii="Book Antiqua" w:eastAsia="Times New Roman" w:hAnsi="Book Antiqua" w:cs="Times New Roman"/>
          <w:lang w:val="en-US"/>
        </w:rPr>
        <w:t xml:space="preserve"> Calculation of Quick Ratio for the Years 2015-2024</w:t>
      </w:r>
    </w:p>
    <w:p w14:paraId="5946DCE1" w14:textId="600BEE68" w:rsidR="00974C01" w:rsidRDefault="00974C01" w:rsidP="00974C01">
      <w:pPr>
        <w:pStyle w:val="ListParagraph"/>
        <w:jc w:val="both"/>
        <w:rPr>
          <w:rFonts w:ascii="Book Antiqua" w:eastAsia="Times New Roman" w:hAnsi="Book Antiqua" w:cs="Times New Roman"/>
          <w:lang w:val="en-US"/>
        </w:rPr>
      </w:pPr>
      <w:r>
        <w:rPr>
          <w:rFonts w:ascii="Book Antiqua" w:eastAsia="Times New Roman" w:hAnsi="Book Antiqua" w:cs="Times New Roman"/>
          <w:noProof/>
          <w:lang w:val="en-US"/>
        </w:rPr>
        <w:drawing>
          <wp:anchor distT="0" distB="0" distL="114300" distR="114300" simplePos="0" relativeHeight="251659264" behindDoc="0" locked="0" layoutInCell="1" allowOverlap="1" wp14:anchorId="6220BDFF" wp14:editId="77994424">
            <wp:simplePos x="0" y="0"/>
            <wp:positionH relativeFrom="margin">
              <wp:align>right</wp:align>
            </wp:positionH>
            <wp:positionV relativeFrom="paragraph">
              <wp:posOffset>5080</wp:posOffset>
            </wp:positionV>
            <wp:extent cx="5621020" cy="14573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020" cy="1457325"/>
                    </a:xfrm>
                    <a:prstGeom prst="rect">
                      <a:avLst/>
                    </a:prstGeom>
                    <a:noFill/>
                  </pic:spPr>
                </pic:pic>
              </a:graphicData>
            </a:graphic>
          </wp:anchor>
        </w:drawing>
      </w:r>
    </w:p>
    <w:p w14:paraId="75984709" w14:textId="4C2A6D91" w:rsidR="00974C01" w:rsidRDefault="00974C01" w:rsidP="00974C01">
      <w:pPr>
        <w:pStyle w:val="ListParagraph"/>
        <w:jc w:val="both"/>
        <w:rPr>
          <w:rFonts w:ascii="Book Antiqua" w:eastAsia="Times New Roman" w:hAnsi="Book Antiqua" w:cs="Times New Roman"/>
          <w:lang w:val="en-US"/>
        </w:rPr>
      </w:pPr>
    </w:p>
    <w:p w14:paraId="4BD098E8" w14:textId="5B722E56" w:rsidR="00974C01" w:rsidRDefault="00974C01" w:rsidP="00974C01">
      <w:pPr>
        <w:pStyle w:val="ListParagraph"/>
        <w:jc w:val="both"/>
        <w:rPr>
          <w:rFonts w:ascii="Book Antiqua" w:eastAsia="Times New Roman" w:hAnsi="Book Antiqua" w:cs="Times New Roman"/>
          <w:lang w:val="en-US"/>
        </w:rPr>
      </w:pPr>
    </w:p>
    <w:p w14:paraId="46688BA8" w14:textId="33C293E2" w:rsidR="00974C01" w:rsidRDefault="00974C01" w:rsidP="00974C01">
      <w:pPr>
        <w:pStyle w:val="ListParagraph"/>
        <w:jc w:val="both"/>
        <w:rPr>
          <w:rFonts w:ascii="Book Antiqua" w:eastAsia="Times New Roman" w:hAnsi="Book Antiqua" w:cs="Times New Roman"/>
          <w:lang w:val="en-US"/>
        </w:rPr>
      </w:pPr>
    </w:p>
    <w:p w14:paraId="4AB01580" w14:textId="6035A584" w:rsidR="00974C01" w:rsidRDefault="00974C01" w:rsidP="00974C01">
      <w:pPr>
        <w:pStyle w:val="ListParagraph"/>
        <w:jc w:val="both"/>
        <w:rPr>
          <w:rFonts w:ascii="Book Antiqua" w:eastAsia="Times New Roman" w:hAnsi="Book Antiqua" w:cs="Times New Roman"/>
          <w:lang w:val="en-US"/>
        </w:rPr>
      </w:pPr>
    </w:p>
    <w:p w14:paraId="051BA6E0" w14:textId="10DDA4C3" w:rsidR="00974C01" w:rsidRDefault="00974C01" w:rsidP="00974C01">
      <w:pPr>
        <w:pStyle w:val="ListParagraph"/>
        <w:jc w:val="both"/>
        <w:rPr>
          <w:rFonts w:ascii="Book Antiqua" w:eastAsia="Times New Roman" w:hAnsi="Book Antiqua" w:cs="Times New Roman"/>
          <w:lang w:val="en-US"/>
        </w:rPr>
      </w:pPr>
    </w:p>
    <w:p w14:paraId="220687F6" w14:textId="6F9AA7E7" w:rsidR="00974C01" w:rsidRDefault="00974C01" w:rsidP="00974C01">
      <w:pPr>
        <w:pStyle w:val="ListParagraph"/>
        <w:jc w:val="both"/>
        <w:rPr>
          <w:rFonts w:ascii="Book Antiqua" w:eastAsia="Times New Roman" w:hAnsi="Book Antiqua" w:cs="Times New Roman"/>
          <w:lang w:val="en-US"/>
        </w:rPr>
      </w:pPr>
    </w:p>
    <w:p w14:paraId="1B284A52" w14:textId="73B7F9F0" w:rsidR="00974C01" w:rsidRDefault="00974C01" w:rsidP="00974C01">
      <w:pPr>
        <w:pStyle w:val="ListParagraph"/>
        <w:jc w:val="both"/>
        <w:rPr>
          <w:rFonts w:ascii="Book Antiqua" w:eastAsia="Times New Roman" w:hAnsi="Book Antiqua" w:cs="Times New Roman"/>
          <w:lang w:val="en-US"/>
        </w:rPr>
      </w:pPr>
    </w:p>
    <w:p w14:paraId="071BC633" w14:textId="4F8F35F8" w:rsidR="00974C01" w:rsidRPr="00974C01" w:rsidRDefault="00974C01" w:rsidP="00974C01">
      <w:pPr>
        <w:jc w:val="both"/>
        <w:rPr>
          <w:rFonts w:ascii="Book Antiqua" w:eastAsia="Times New Roman" w:hAnsi="Book Antiqua" w:cs="Times New Roman"/>
          <w:lang w:val="en-US"/>
        </w:rPr>
      </w:pPr>
      <w:r>
        <w:rPr>
          <w:rFonts w:ascii="Book Antiqua" w:eastAsia="Times New Roman" w:hAnsi="Book Antiqua" w:cs="Times New Roman"/>
          <w:lang w:val="en-US"/>
        </w:rPr>
        <w:tab/>
      </w:r>
      <w:r w:rsidRPr="00974C01">
        <w:rPr>
          <w:rFonts w:ascii="Book Antiqua" w:eastAsia="Times New Roman" w:hAnsi="Book Antiqua" w:cs="Times New Roman"/>
          <w:lang w:val="en-US"/>
        </w:rPr>
        <w:t xml:space="preserve">Based on the table above, the Quick Ratio indicates a company's ability to meet short-term obligations without relying on inventory. During the period 2015–2024, this ratio had an average value of 236.11%, indicating that the company still had high current assets even after deducting inventory. This condition indicates that the cash and receivables held by PT Charoen Pokphand Indonesia </w:t>
      </w:r>
      <w:proofErr w:type="spellStart"/>
      <w:r w:rsidRPr="00974C01">
        <w:rPr>
          <w:rFonts w:ascii="Book Antiqua" w:eastAsia="Times New Roman" w:hAnsi="Book Antiqua" w:cs="Times New Roman"/>
          <w:lang w:val="en-US"/>
        </w:rPr>
        <w:t>Tbk</w:t>
      </w:r>
      <w:proofErr w:type="spellEnd"/>
      <w:r w:rsidRPr="00974C01">
        <w:rPr>
          <w:rFonts w:ascii="Book Antiqua" w:eastAsia="Times New Roman" w:hAnsi="Book Antiqua" w:cs="Times New Roman"/>
          <w:lang w:val="en-US"/>
        </w:rPr>
        <w:t xml:space="preserve"> are more than sufficient to pay off current debts. A company can be said to have good liquidity if its Quick Ratio is above 150%. Therefore, the calculation results show that overall, PT Charoen Pokphand Indonesia </w:t>
      </w:r>
      <w:proofErr w:type="spellStart"/>
      <w:r w:rsidRPr="00974C01">
        <w:rPr>
          <w:rFonts w:ascii="Book Antiqua" w:eastAsia="Times New Roman" w:hAnsi="Book Antiqua" w:cs="Times New Roman"/>
          <w:lang w:val="en-US"/>
        </w:rPr>
        <w:t>Tbk</w:t>
      </w:r>
      <w:proofErr w:type="spellEnd"/>
      <w:r w:rsidRPr="00974C01">
        <w:rPr>
          <w:rFonts w:ascii="Book Antiqua" w:eastAsia="Times New Roman" w:hAnsi="Book Antiqua" w:cs="Times New Roman"/>
          <w:lang w:val="en-US"/>
        </w:rPr>
        <w:t xml:space="preserve"> has a very good liquidity condition, as the ratio obtained is far above the industry standard average. However, the downward trend from 2020 to 2023 indicates a decline in the effectiveness of cash and receivables management. If this condition continues, the company may face liquidity risks in the future. Therefore, monitoring of receivables and cash management needs to be improved to keep the company's liquidity stable and support smooth short-term operations.</w:t>
      </w:r>
    </w:p>
    <w:p w14:paraId="73FC5755" w14:textId="32AF4E7E" w:rsidR="00974C01" w:rsidRDefault="00974C01" w:rsidP="00974C01">
      <w:pPr>
        <w:pStyle w:val="ListParagraph"/>
        <w:jc w:val="both"/>
        <w:rPr>
          <w:rFonts w:ascii="Book Antiqua" w:eastAsia="Times New Roman" w:hAnsi="Book Antiqua" w:cs="Times New Roman"/>
          <w:lang w:val="en-US"/>
        </w:rPr>
      </w:pPr>
    </w:p>
    <w:p w14:paraId="0A62FFEF" w14:textId="173D6E2C" w:rsidR="00974C01" w:rsidRDefault="00974C01" w:rsidP="00974C01">
      <w:pPr>
        <w:pStyle w:val="ListParagraph"/>
        <w:jc w:val="both"/>
        <w:rPr>
          <w:rFonts w:ascii="Book Antiqua" w:eastAsia="Times New Roman" w:hAnsi="Book Antiqua" w:cs="Times New Roman"/>
          <w:lang w:val="en-US"/>
        </w:rPr>
      </w:pPr>
    </w:p>
    <w:p w14:paraId="2AB849EE" w14:textId="7AF8EEEC" w:rsidR="00974C01" w:rsidRDefault="00974C01" w:rsidP="00974C01">
      <w:pPr>
        <w:pStyle w:val="ListParagraph"/>
        <w:jc w:val="both"/>
        <w:rPr>
          <w:rFonts w:ascii="Book Antiqua" w:eastAsia="Times New Roman" w:hAnsi="Book Antiqua" w:cs="Times New Roman"/>
          <w:lang w:val="en-US"/>
        </w:rPr>
      </w:pPr>
    </w:p>
    <w:p w14:paraId="3AF2CE2B" w14:textId="0FDC19F8" w:rsidR="00974C01" w:rsidRDefault="00974C01" w:rsidP="00974C01">
      <w:pPr>
        <w:pStyle w:val="ListParagraph"/>
        <w:jc w:val="both"/>
        <w:rPr>
          <w:rFonts w:ascii="Book Antiqua" w:eastAsia="Times New Roman" w:hAnsi="Book Antiqua" w:cs="Times New Roman"/>
          <w:lang w:val="en-US"/>
        </w:rPr>
      </w:pPr>
    </w:p>
    <w:p w14:paraId="09DD0A7A" w14:textId="77777777" w:rsidR="00974C01" w:rsidRPr="000A1F91" w:rsidRDefault="00974C01" w:rsidP="00974C01">
      <w:pPr>
        <w:pStyle w:val="ListParagraph"/>
        <w:jc w:val="both"/>
        <w:rPr>
          <w:rFonts w:ascii="Book Antiqua" w:eastAsia="Times New Roman" w:hAnsi="Book Antiqua" w:cs="Times New Roman"/>
          <w:lang w:val="en-US"/>
        </w:rPr>
      </w:pPr>
    </w:p>
    <w:p w14:paraId="2A094BCD" w14:textId="6B3812A1" w:rsidR="00E12EB7" w:rsidRDefault="00974C01" w:rsidP="00974C01">
      <w:pPr>
        <w:pStyle w:val="ListParagraph"/>
        <w:numPr>
          <w:ilvl w:val="0"/>
          <w:numId w:val="7"/>
        </w:numPr>
        <w:spacing w:before="100" w:beforeAutospacing="1" w:after="100" w:afterAutospacing="1"/>
        <w:jc w:val="both"/>
        <w:rPr>
          <w:rFonts w:ascii="Book Antiqua" w:eastAsia="Times New Roman" w:hAnsi="Book Antiqua" w:cs="Times New Roman"/>
          <w:lang w:val="en-US"/>
        </w:rPr>
      </w:pPr>
      <w:r w:rsidRPr="00974C01">
        <w:rPr>
          <w:rFonts w:ascii="Book Antiqua" w:eastAsia="Times New Roman" w:hAnsi="Book Antiqua" w:cs="Times New Roman"/>
          <w:b/>
          <w:bCs/>
          <w:lang w:val="en-US"/>
        </w:rPr>
        <w:t>Cash Ra</w:t>
      </w:r>
      <w:r>
        <w:rPr>
          <w:rFonts w:ascii="Book Antiqua" w:eastAsia="Times New Roman" w:hAnsi="Book Antiqua" w:cs="Times New Roman"/>
          <w:b/>
          <w:bCs/>
          <w:lang w:val="en-US"/>
        </w:rPr>
        <w:t>t</w:t>
      </w:r>
      <w:r w:rsidRPr="00974C01">
        <w:rPr>
          <w:rFonts w:ascii="Book Antiqua" w:eastAsia="Times New Roman" w:hAnsi="Book Antiqua" w:cs="Times New Roman"/>
          <w:b/>
          <w:bCs/>
          <w:lang w:val="en-US"/>
        </w:rPr>
        <w:t xml:space="preserve">io </w:t>
      </w:r>
      <w:r w:rsidRPr="00974C01">
        <w:rPr>
          <w:rFonts w:ascii="Book Antiqua" w:eastAsia="Times New Roman" w:hAnsi="Book Antiqua" w:cs="Times New Roman"/>
          <w:lang w:val="en-US"/>
        </w:rPr>
        <w:t>is a liquidity ratio that measures a company's ability to pay its current liabilities using only the cash and cash equivalents it holds. This ratio is the strictest and most conservative measure for assessing liquidity because it does not consider other assets such as accounts receivable or inventory. The formula is total cash and cash equivalents divided by total current liabilities.</w:t>
      </w:r>
    </w:p>
    <w:p w14:paraId="000EDD98" w14:textId="3BC3CAA6"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 xml:space="preserve">Cash Ratio = </w:t>
      </w:r>
      <m:oMath>
        <m:box>
          <m:boxPr>
            <m:ctrlPr>
              <w:rPr>
                <w:rFonts w:ascii="Cambria Math" w:eastAsia="Times New Roman" w:hAnsi="Cambria Math" w:cs="Times New Roman"/>
                <w:i/>
                <w:lang w:val="en-US"/>
              </w:rPr>
            </m:ctrlPr>
          </m:boxPr>
          <m:e>
            <m:argPr>
              <m:argSz m:val="-1"/>
            </m:argPr>
            <m:f>
              <m:fPr>
                <m:ctrlPr>
                  <w:rPr>
                    <w:rFonts w:ascii="Cambria Math" w:eastAsia="Times New Roman" w:hAnsi="Cambria Math" w:cs="Times New Roman"/>
                    <w:i/>
                    <w:lang w:val="en-US"/>
                  </w:rPr>
                </m:ctrlPr>
              </m:fPr>
              <m:num>
                <m:r>
                  <w:rPr>
                    <w:rFonts w:ascii="Cambria Math" w:eastAsia="Times New Roman" w:hAnsi="Cambria Math" w:cs="Times New Roman"/>
                    <w:lang w:val="en-US"/>
                  </w:rPr>
                  <m:t>Cash + Cash Equivalents</m:t>
                </m:r>
              </m:num>
              <m:den>
                <m:r>
                  <w:rPr>
                    <w:rFonts w:ascii="Cambria Math" w:eastAsia="Times New Roman" w:hAnsi="Cambria Math" w:cs="Times New Roman"/>
                    <w:lang w:val="en-US"/>
                  </w:rPr>
                  <m:t>Current Liabilities</m:t>
                </m:r>
              </m:den>
            </m:f>
          </m:e>
        </m:box>
      </m:oMath>
    </w:p>
    <w:p w14:paraId="61420F7B" w14:textId="3E58BEF8"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6DA30F66" w14:textId="1BC7001B" w:rsidR="00974C01" w:rsidRDefault="00974C01" w:rsidP="00974C01">
      <w:pPr>
        <w:pStyle w:val="ListParagraph"/>
        <w:spacing w:before="100" w:beforeAutospacing="1" w:after="100" w:afterAutospacing="1"/>
        <w:jc w:val="center"/>
        <w:rPr>
          <w:rFonts w:ascii="Book Antiqua" w:eastAsia="Times New Roman" w:hAnsi="Book Antiqua" w:cs="Times New Roman"/>
          <w:lang w:val="en-US"/>
        </w:rPr>
      </w:pPr>
      <w:r w:rsidRPr="00974C01">
        <w:rPr>
          <w:rFonts w:ascii="Book Antiqua" w:eastAsia="Times New Roman" w:hAnsi="Book Antiqua" w:cs="Times New Roman"/>
          <w:b/>
          <w:bCs/>
          <w:lang w:val="en-US"/>
        </w:rPr>
        <w:t>Table 3.</w:t>
      </w:r>
      <w:r w:rsidRPr="00974C01">
        <w:rPr>
          <w:rFonts w:ascii="Book Antiqua" w:eastAsia="Times New Roman" w:hAnsi="Book Antiqua" w:cs="Times New Roman"/>
          <w:lang w:val="en-US"/>
        </w:rPr>
        <w:t xml:space="preserve"> Calculation of Cash Ratio for the Years 2015-2024</w:t>
      </w:r>
    </w:p>
    <w:p w14:paraId="4F91FE9E" w14:textId="6C3218F4"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noProof/>
          <w:lang w:val="en-US"/>
        </w:rPr>
        <w:drawing>
          <wp:anchor distT="0" distB="0" distL="114300" distR="114300" simplePos="0" relativeHeight="251660288" behindDoc="0" locked="0" layoutInCell="1" allowOverlap="1" wp14:anchorId="5EB2F111" wp14:editId="5F8C1B0F">
            <wp:simplePos x="0" y="0"/>
            <wp:positionH relativeFrom="column">
              <wp:posOffset>273050</wp:posOffset>
            </wp:positionH>
            <wp:positionV relativeFrom="paragraph">
              <wp:posOffset>8890</wp:posOffset>
            </wp:positionV>
            <wp:extent cx="5621020" cy="14573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1020" cy="1457325"/>
                    </a:xfrm>
                    <a:prstGeom prst="rect">
                      <a:avLst/>
                    </a:prstGeom>
                    <a:noFill/>
                  </pic:spPr>
                </pic:pic>
              </a:graphicData>
            </a:graphic>
          </wp:anchor>
        </w:drawing>
      </w:r>
    </w:p>
    <w:p w14:paraId="38E1DC5C" w14:textId="4BCF903C"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74DD2D54" w14:textId="6420E00E"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5C4072B1" w14:textId="2F7CE8F0"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66010398" w14:textId="4FF3D834"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58BA11A4" w14:textId="754396BE"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3CFAF2E1" w14:textId="02448552"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19BB5DA1" w14:textId="44039DDE"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59CC16DA" w14:textId="6202F35F"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974C01">
        <w:rPr>
          <w:rFonts w:ascii="Book Antiqua" w:eastAsia="Times New Roman" w:hAnsi="Book Antiqua" w:cs="Times New Roman"/>
          <w:lang w:val="en-US"/>
        </w:rPr>
        <w:t xml:space="preserve">Based on the table above, the Cash Ratio describes a company's ability to directly repay short-term obligations with the cash or securities it holds. During the period 2015–2024, this ratio showed an average value of 71.82%, indicating that the company's cash and cash equivalents were not fully able to cover all current liabilities, but were still in a healthy category, considering the ideal value of this ratio ranges from 20% to 50%. This condition shows that PT Charoen Pokphand Indonesia </w:t>
      </w:r>
      <w:proofErr w:type="spellStart"/>
      <w:r w:rsidRPr="00974C01">
        <w:rPr>
          <w:rFonts w:ascii="Book Antiqua" w:eastAsia="Times New Roman" w:hAnsi="Book Antiqua" w:cs="Times New Roman"/>
          <w:lang w:val="en-US"/>
        </w:rPr>
        <w:t>Tbk</w:t>
      </w:r>
      <w:proofErr w:type="spellEnd"/>
      <w:r w:rsidRPr="00974C01">
        <w:rPr>
          <w:rFonts w:ascii="Book Antiqua" w:eastAsia="Times New Roman" w:hAnsi="Book Antiqua" w:cs="Times New Roman"/>
          <w:lang w:val="en-US"/>
        </w:rPr>
        <w:t xml:space="preserve"> has a good level of liquidity with adequate cash reserves to meet short-term obligations without relying on other assets. The sharp decline in 2022–2023, reaching 25.77%, is believed to be caused by increased cash outflows, such as for investment activities, raw material purchases, or dividend payments. Meanwhile, the increase in 2024 indicates an improvement in the company's cash position, suggesting that management has taken more optimal steps to improve efficiency and control cash flow.</w:t>
      </w:r>
    </w:p>
    <w:p w14:paraId="567A034A" w14:textId="068C70AE" w:rsidR="00974C01" w:rsidRDefault="00974C01" w:rsidP="00974C01">
      <w:pPr>
        <w:pStyle w:val="ListParagraph"/>
        <w:spacing w:before="100" w:beforeAutospacing="1" w:after="100" w:afterAutospacing="1"/>
        <w:jc w:val="both"/>
        <w:rPr>
          <w:rFonts w:ascii="Book Antiqua" w:eastAsia="Times New Roman" w:hAnsi="Book Antiqua" w:cs="Times New Roman"/>
          <w:lang w:val="en-US"/>
        </w:rPr>
      </w:pPr>
    </w:p>
    <w:p w14:paraId="54CB6ED1" w14:textId="211BBF31" w:rsidR="00F647D1" w:rsidRPr="00F647D1" w:rsidRDefault="00F647D1" w:rsidP="00974C01">
      <w:pPr>
        <w:pStyle w:val="ListParagraph"/>
        <w:spacing w:before="100" w:beforeAutospacing="1" w:after="100" w:afterAutospacing="1"/>
        <w:jc w:val="both"/>
        <w:rPr>
          <w:rFonts w:ascii="Book Antiqua" w:eastAsia="Times New Roman" w:hAnsi="Book Antiqua" w:cs="Times New Roman"/>
          <w:b/>
          <w:bCs/>
          <w:lang w:val="en-US"/>
        </w:rPr>
      </w:pPr>
      <w:r w:rsidRPr="00F647D1">
        <w:rPr>
          <w:rFonts w:ascii="Book Antiqua" w:eastAsia="Times New Roman" w:hAnsi="Book Antiqua" w:cs="Times New Roman"/>
          <w:b/>
          <w:bCs/>
          <w:lang w:val="en-US"/>
        </w:rPr>
        <w:t>Solvency Ratio Calculation</w:t>
      </w:r>
    </w:p>
    <w:p w14:paraId="7BABF14B" w14:textId="77777777" w:rsidR="00F647D1" w:rsidRPr="00F647D1" w:rsidRDefault="00F647D1" w:rsidP="003C1622">
      <w:pPr>
        <w:pStyle w:val="ListParagraph"/>
        <w:numPr>
          <w:ilvl w:val="0"/>
          <w:numId w:val="11"/>
        </w:numPr>
        <w:spacing w:before="100" w:beforeAutospacing="1" w:after="100" w:afterAutospacing="1"/>
        <w:jc w:val="both"/>
        <w:rPr>
          <w:rFonts w:ascii="Book Antiqua" w:eastAsia="Times New Roman" w:hAnsi="Book Antiqua" w:cs="Times New Roman"/>
          <w:b/>
          <w:bCs/>
          <w:lang w:val="en-US"/>
        </w:rPr>
      </w:pPr>
      <w:r w:rsidRPr="00F647D1">
        <w:rPr>
          <w:rFonts w:ascii="Book Antiqua" w:eastAsia="Times New Roman" w:hAnsi="Book Antiqua" w:cs="Times New Roman"/>
          <w:b/>
          <w:bCs/>
          <w:lang w:val="en-US"/>
        </w:rPr>
        <w:t xml:space="preserve">Debt To Asset Ratio (DAR) </w:t>
      </w:r>
      <w:r w:rsidRPr="00F647D1">
        <w:rPr>
          <w:rFonts w:ascii="Book Antiqua" w:eastAsia="Times New Roman" w:hAnsi="Book Antiqua" w:cs="Times New Roman"/>
          <w:lang w:val="en-US"/>
        </w:rPr>
        <w:t>is a financial ratio that indicates the proportion of a company's total assets financed by debt. This ratio measures a company's solvency by dividing total debt (short-term and long-term) by total assets (current and non-current).</w:t>
      </w:r>
    </w:p>
    <w:p w14:paraId="0F735032" w14:textId="0F19257B" w:rsidR="00F647D1" w:rsidRDefault="00F647D1" w:rsidP="00F647D1">
      <w:pPr>
        <w:pStyle w:val="ListParagraph"/>
        <w:spacing w:before="100" w:beforeAutospacing="1" w:after="100" w:afterAutospacing="1"/>
        <w:jc w:val="both"/>
        <w:rPr>
          <w:rFonts w:ascii="Book Antiqua" w:eastAsia="Times New Roman" w:hAnsi="Book Antiqua" w:cs="Times New Roman"/>
          <w:lang w:val="en-US"/>
        </w:rPr>
      </w:pPr>
      <w:r w:rsidRPr="00F647D1">
        <w:rPr>
          <w:rFonts w:ascii="Book Antiqua" w:eastAsia="Times New Roman" w:hAnsi="Book Antiqua" w:cs="Times New Roman"/>
          <w:lang w:val="en-US"/>
        </w:rPr>
        <w:t>DAR =</w:t>
      </w:r>
      <w:r>
        <w:rPr>
          <w:rFonts w:ascii="Book Antiqua" w:eastAsia="Times New Roman" w:hAnsi="Book Antiqua" w:cs="Times New Roman"/>
          <w:lang w:val="en-US"/>
        </w:rPr>
        <w:t xml:space="preserve"> </w:t>
      </w: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Total debt</m:t>
            </m:r>
          </m:num>
          <m:den>
            <m:r>
              <w:rPr>
                <w:rFonts w:ascii="Cambria Math" w:eastAsia="Times New Roman" w:hAnsi="Cambria Math" w:cs="Times New Roman"/>
                <w:lang w:val="en-US"/>
              </w:rPr>
              <m:t>Total Assets</m:t>
            </m:r>
          </m:den>
        </m:f>
      </m:oMath>
      <w:r>
        <w:rPr>
          <w:rFonts w:ascii="Book Antiqua" w:eastAsia="Times New Roman" w:hAnsi="Book Antiqua" w:cs="Times New Roman"/>
          <w:lang w:val="en-US"/>
        </w:rPr>
        <w:t xml:space="preserve"> x 100%</w:t>
      </w:r>
    </w:p>
    <w:p w14:paraId="5F8D9692" w14:textId="160904A5" w:rsidR="00F647D1" w:rsidRPr="00F647D1" w:rsidRDefault="00F647D1" w:rsidP="00F647D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F647D1">
        <w:rPr>
          <w:rFonts w:ascii="Book Antiqua" w:eastAsia="Times New Roman" w:hAnsi="Book Antiqua" w:cs="Times New Roman"/>
          <w:lang w:val="en-US"/>
        </w:rPr>
        <w:t xml:space="preserve">The debt-to-asset ratio (DAR) in 2015 was 48.68%, indicating that almost half of the company's assets were financed by debt. In 2016, the DAR value decreased to 41.51%, and continued to decline to 35.96% in 2017. This decline indicates an increase in the proportion of funding from equity. In 2018, the </w:t>
      </w:r>
      <w:r w:rsidRPr="00F647D1">
        <w:rPr>
          <w:rFonts w:ascii="Book Antiqua" w:eastAsia="Times New Roman" w:hAnsi="Book Antiqua" w:cs="Times New Roman"/>
          <w:lang w:val="en-US"/>
        </w:rPr>
        <w:lastRenderedPageBreak/>
        <w:t xml:space="preserve">debt-to-asset ratio (DAR) decreased again to 29.86%, followed by a decline in 2019 to 28.22%, and reaching its lowest point in 2020 at 25.00%. However, in 2021, the ratio rose again to 29.05%, then increased slightly in 2022 to 34.93%, and in 2023 to 34.04%. In 2024, the DAR decreased again to 29.22%. The average debt-to-asset ratio during this period was 29.62%, which means that most of the company's assets were financed by equity. The industry standard for this ratio is around 35%. Therefore, it can be said that PT Charoen Pokphand Indonesia </w:t>
      </w:r>
      <w:proofErr w:type="spellStart"/>
      <w:r w:rsidRPr="00F647D1">
        <w:rPr>
          <w:rFonts w:ascii="Book Antiqua" w:eastAsia="Times New Roman" w:hAnsi="Book Antiqua" w:cs="Times New Roman"/>
          <w:lang w:val="en-US"/>
        </w:rPr>
        <w:t>Tbk</w:t>
      </w:r>
      <w:proofErr w:type="spellEnd"/>
      <w:r w:rsidRPr="00F647D1">
        <w:rPr>
          <w:rFonts w:ascii="Book Antiqua" w:eastAsia="Times New Roman" w:hAnsi="Book Antiqua" w:cs="Times New Roman"/>
          <w:lang w:val="en-US"/>
        </w:rPr>
        <w:t xml:space="preserve"> has good financial health, as most periods show values below the industry standard. Only in 2015 did it remain above 35%, while subsequent years showed significant improvement.</w:t>
      </w:r>
    </w:p>
    <w:p w14:paraId="52BF9B07" w14:textId="7ACB4AEC" w:rsidR="00F647D1" w:rsidRDefault="00F647D1" w:rsidP="00F647D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F647D1">
        <w:rPr>
          <w:rFonts w:ascii="Book Antiqua" w:eastAsia="Times New Roman" w:hAnsi="Book Antiqua" w:cs="Times New Roman"/>
          <w:lang w:val="en-US"/>
        </w:rPr>
        <w:t xml:space="preserve">Based on this trend, it can be concluded that the company has successfully managed its long-term liabilities effectively. This decrease in the ratio indicates that debt is not the primary source of funding, so the capital structure of PT Charoen Pokphand Indonesia </w:t>
      </w:r>
      <w:proofErr w:type="spellStart"/>
      <w:r w:rsidRPr="00F647D1">
        <w:rPr>
          <w:rFonts w:ascii="Book Antiqua" w:eastAsia="Times New Roman" w:hAnsi="Book Antiqua" w:cs="Times New Roman"/>
          <w:lang w:val="en-US"/>
        </w:rPr>
        <w:t>Tbk</w:t>
      </w:r>
      <w:proofErr w:type="spellEnd"/>
      <w:r w:rsidRPr="00F647D1">
        <w:rPr>
          <w:rFonts w:ascii="Book Antiqua" w:eastAsia="Times New Roman" w:hAnsi="Book Antiqua" w:cs="Times New Roman"/>
          <w:lang w:val="en-US"/>
        </w:rPr>
        <w:t xml:space="preserve"> can be said to be healthy and stable throughout the analysis period.</w:t>
      </w:r>
    </w:p>
    <w:p w14:paraId="64063D3D" w14:textId="3D229802" w:rsidR="00F647D1" w:rsidRPr="00F647D1" w:rsidRDefault="00F647D1" w:rsidP="00F647D1">
      <w:pPr>
        <w:pStyle w:val="ListParagraph"/>
        <w:numPr>
          <w:ilvl w:val="0"/>
          <w:numId w:val="11"/>
        </w:numPr>
        <w:spacing w:before="100" w:beforeAutospacing="1" w:after="100" w:afterAutospacing="1"/>
        <w:jc w:val="both"/>
        <w:rPr>
          <w:rFonts w:ascii="Book Antiqua" w:eastAsia="Times New Roman" w:hAnsi="Book Antiqua" w:cs="Times New Roman"/>
          <w:b/>
          <w:bCs/>
          <w:lang w:val="en-US"/>
        </w:rPr>
      </w:pPr>
      <w:r w:rsidRPr="00F647D1">
        <w:rPr>
          <w:rFonts w:ascii="Book Antiqua" w:eastAsia="Times New Roman" w:hAnsi="Book Antiqua" w:cs="Times New Roman"/>
          <w:b/>
          <w:bCs/>
          <w:lang w:val="en-US"/>
        </w:rPr>
        <w:t xml:space="preserve">Debt To Equity </w:t>
      </w:r>
      <w:proofErr w:type="spellStart"/>
      <w:r w:rsidRPr="00F647D1">
        <w:rPr>
          <w:rFonts w:ascii="Book Antiqua" w:eastAsia="Times New Roman" w:hAnsi="Book Antiqua" w:cs="Times New Roman"/>
          <w:b/>
          <w:bCs/>
          <w:lang w:val="en-US"/>
        </w:rPr>
        <w:t>Rasio</w:t>
      </w:r>
      <w:proofErr w:type="spellEnd"/>
      <w:r w:rsidRPr="00F647D1">
        <w:rPr>
          <w:rFonts w:ascii="Book Antiqua" w:eastAsia="Times New Roman" w:hAnsi="Book Antiqua" w:cs="Times New Roman"/>
          <w:b/>
          <w:bCs/>
          <w:lang w:val="en-US"/>
        </w:rPr>
        <w:t xml:space="preserve"> (DER)</w:t>
      </w:r>
      <w:r>
        <w:rPr>
          <w:rFonts w:ascii="Book Antiqua" w:eastAsia="Times New Roman" w:hAnsi="Book Antiqua" w:cs="Times New Roman"/>
          <w:b/>
          <w:bCs/>
          <w:lang w:val="en-US"/>
        </w:rPr>
        <w:t xml:space="preserve"> </w:t>
      </w:r>
      <w:r w:rsidRPr="00F647D1">
        <w:rPr>
          <w:rFonts w:ascii="Book Antiqua" w:eastAsia="Times New Roman" w:hAnsi="Book Antiqua" w:cs="Times New Roman"/>
          <w:lang w:val="en-US"/>
        </w:rPr>
        <w:t>is a financial ratio that compares a company's total debt to its total shareholder equity to measure how much the company uses debt to finance its operations.</w:t>
      </w:r>
    </w:p>
    <w:p w14:paraId="732E6395" w14:textId="15F52FFB" w:rsidR="00F647D1" w:rsidRDefault="00F647D1" w:rsidP="00F647D1">
      <w:pPr>
        <w:pStyle w:val="ListParagraph"/>
        <w:spacing w:before="100" w:beforeAutospacing="1" w:after="100" w:afterAutospacing="1"/>
        <w:jc w:val="both"/>
        <w:rPr>
          <w:rFonts w:ascii="Book Antiqua" w:eastAsia="Times New Roman" w:hAnsi="Book Antiqua" w:cs="Times New Roman"/>
          <w:lang w:val="en-US"/>
        </w:rPr>
      </w:pPr>
      <w:r w:rsidRPr="00F647D1">
        <w:rPr>
          <w:rFonts w:ascii="Book Antiqua" w:eastAsia="Times New Roman" w:hAnsi="Book Antiqua" w:cs="Times New Roman"/>
          <w:lang w:val="en-US"/>
        </w:rPr>
        <w:t xml:space="preserve">DER = </w:t>
      </w: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Total debt</m:t>
            </m:r>
          </m:num>
          <m:den>
            <m:r>
              <w:rPr>
                <w:rFonts w:ascii="Cambria Math" w:eastAsia="Times New Roman" w:hAnsi="Cambria Math" w:cs="Times New Roman"/>
                <w:lang w:val="en-US"/>
              </w:rPr>
              <m:t>Total capital</m:t>
            </m:r>
          </m:den>
        </m:f>
      </m:oMath>
      <w:r w:rsidRPr="00F647D1">
        <w:rPr>
          <w:rFonts w:ascii="Book Antiqua" w:eastAsia="Times New Roman" w:hAnsi="Book Antiqua" w:cs="Times New Roman"/>
          <w:lang w:val="en-US"/>
        </w:rPr>
        <w:t xml:space="preserve"> x 100%</w:t>
      </w:r>
    </w:p>
    <w:p w14:paraId="3DEDBE32" w14:textId="24950649" w:rsidR="00F647D1" w:rsidRDefault="00F647D1" w:rsidP="00F647D1">
      <w:pPr>
        <w:pStyle w:val="ListParagraph"/>
        <w:spacing w:before="100" w:beforeAutospacing="1" w:after="100" w:afterAutospacing="1"/>
        <w:jc w:val="center"/>
        <w:rPr>
          <w:rFonts w:ascii="Book Antiqua" w:eastAsia="Times New Roman" w:hAnsi="Book Antiqua" w:cs="Times New Roman"/>
          <w:lang w:val="en-US"/>
        </w:rPr>
      </w:pPr>
      <w:r w:rsidRPr="00F647D1">
        <w:rPr>
          <w:rFonts w:ascii="Book Antiqua" w:eastAsia="Times New Roman" w:hAnsi="Book Antiqua" w:cs="Times New Roman"/>
          <w:b/>
          <w:bCs/>
          <w:lang w:val="en-US"/>
        </w:rPr>
        <w:t>Table 5.</w:t>
      </w:r>
      <w:r w:rsidRPr="00F647D1">
        <w:rPr>
          <w:rFonts w:ascii="Book Antiqua" w:eastAsia="Times New Roman" w:hAnsi="Book Antiqua" w:cs="Times New Roman"/>
          <w:lang w:val="en-US"/>
        </w:rPr>
        <w:t xml:space="preserve"> Calculation of Debt-to-Equity Ratio (DER) for the Years 2015-2024</w:t>
      </w:r>
    </w:p>
    <w:p w14:paraId="5B4936DD" w14:textId="041EE0E9" w:rsidR="00F647D1" w:rsidRDefault="00F647D1" w:rsidP="00F647D1">
      <w:pPr>
        <w:pStyle w:val="ListParagraph"/>
        <w:spacing w:before="100" w:beforeAutospacing="1" w:after="100" w:afterAutospacing="1"/>
        <w:jc w:val="center"/>
        <w:rPr>
          <w:rFonts w:ascii="Book Antiqua" w:eastAsia="Times New Roman" w:hAnsi="Book Antiqua" w:cs="Times New Roman"/>
          <w:lang w:val="en-US"/>
        </w:rPr>
      </w:pPr>
      <w:r>
        <w:rPr>
          <w:rFonts w:ascii="Book Antiqua" w:eastAsia="Times New Roman" w:hAnsi="Book Antiqua" w:cs="Times New Roman"/>
          <w:noProof/>
          <w:lang w:val="en-US"/>
        </w:rPr>
        <w:drawing>
          <wp:anchor distT="0" distB="0" distL="114300" distR="114300" simplePos="0" relativeHeight="251661312" behindDoc="0" locked="0" layoutInCell="1" allowOverlap="1" wp14:anchorId="1789965A" wp14:editId="340E0155">
            <wp:simplePos x="0" y="0"/>
            <wp:positionH relativeFrom="column">
              <wp:posOffset>146050</wp:posOffset>
            </wp:positionH>
            <wp:positionV relativeFrom="paragraph">
              <wp:posOffset>7620</wp:posOffset>
            </wp:positionV>
            <wp:extent cx="5944235" cy="9937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4235" cy="993775"/>
                    </a:xfrm>
                    <a:prstGeom prst="rect">
                      <a:avLst/>
                    </a:prstGeom>
                    <a:noFill/>
                  </pic:spPr>
                </pic:pic>
              </a:graphicData>
            </a:graphic>
          </wp:anchor>
        </w:drawing>
      </w:r>
    </w:p>
    <w:p w14:paraId="5474B2B0" w14:textId="1BF7EDAB" w:rsidR="00F647D1" w:rsidRDefault="00F647D1" w:rsidP="00F647D1">
      <w:pPr>
        <w:pStyle w:val="ListParagraph"/>
        <w:spacing w:before="100" w:beforeAutospacing="1" w:after="100" w:afterAutospacing="1"/>
        <w:jc w:val="center"/>
        <w:rPr>
          <w:rFonts w:ascii="Book Antiqua" w:eastAsia="Times New Roman" w:hAnsi="Book Antiqua" w:cs="Times New Roman"/>
          <w:lang w:val="en-US"/>
        </w:rPr>
      </w:pPr>
    </w:p>
    <w:p w14:paraId="116589E6" w14:textId="7F67E8AF" w:rsidR="00F647D1" w:rsidRDefault="00F647D1" w:rsidP="00F647D1">
      <w:pPr>
        <w:pStyle w:val="ListParagraph"/>
        <w:spacing w:before="100" w:beforeAutospacing="1" w:after="100" w:afterAutospacing="1"/>
        <w:jc w:val="center"/>
        <w:rPr>
          <w:rFonts w:ascii="Book Antiqua" w:eastAsia="Times New Roman" w:hAnsi="Book Antiqua" w:cs="Times New Roman"/>
          <w:lang w:val="en-US"/>
        </w:rPr>
      </w:pPr>
    </w:p>
    <w:p w14:paraId="50568140" w14:textId="21A961DF" w:rsidR="00F647D1" w:rsidRDefault="00F647D1" w:rsidP="00F647D1">
      <w:pPr>
        <w:pStyle w:val="ListParagraph"/>
        <w:spacing w:before="100" w:beforeAutospacing="1" w:after="100" w:afterAutospacing="1"/>
        <w:jc w:val="center"/>
        <w:rPr>
          <w:rFonts w:ascii="Book Antiqua" w:eastAsia="Times New Roman" w:hAnsi="Book Antiqua" w:cs="Times New Roman"/>
          <w:lang w:val="en-US"/>
        </w:rPr>
      </w:pPr>
    </w:p>
    <w:p w14:paraId="7A1C77E2" w14:textId="77777777" w:rsidR="00F647D1" w:rsidRPr="00F647D1" w:rsidRDefault="00F647D1" w:rsidP="00F647D1">
      <w:pPr>
        <w:pStyle w:val="ListParagraph"/>
        <w:spacing w:before="100" w:beforeAutospacing="1" w:after="100" w:afterAutospacing="1"/>
        <w:jc w:val="center"/>
        <w:rPr>
          <w:rFonts w:ascii="Book Antiqua" w:eastAsia="Times New Roman" w:hAnsi="Book Antiqua" w:cs="Times New Roman"/>
          <w:lang w:val="en-US"/>
        </w:rPr>
      </w:pPr>
    </w:p>
    <w:p w14:paraId="51D869A9" w14:textId="77777777" w:rsidR="00F647D1" w:rsidRDefault="00AA2B1D" w:rsidP="00F647D1">
      <w:pPr>
        <w:pStyle w:val="ListParagraph"/>
        <w:spacing w:before="100" w:beforeAutospacing="1" w:after="100" w:afterAutospacing="1"/>
        <w:jc w:val="both"/>
        <w:rPr>
          <w:rFonts w:ascii="Book Antiqua" w:eastAsia="Times New Roman" w:hAnsi="Book Antiqua" w:cs="Times New Roman"/>
          <w:lang w:val="en-US"/>
        </w:rPr>
      </w:pPr>
      <w:r w:rsidRPr="00F647D1">
        <w:rPr>
          <w:rFonts w:ascii="Book Antiqua" w:eastAsia="Times New Roman" w:hAnsi="Book Antiqua" w:cs="Times New Roman"/>
          <w:lang w:val="en-US"/>
        </w:rPr>
        <w:tab/>
      </w:r>
    </w:p>
    <w:p w14:paraId="7D5FDE2B" w14:textId="59401812" w:rsidR="00F647D1" w:rsidRPr="00F647D1" w:rsidRDefault="00F647D1" w:rsidP="00F647D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F647D1">
        <w:rPr>
          <w:rFonts w:ascii="Book Antiqua" w:eastAsia="Times New Roman" w:hAnsi="Book Antiqua" w:cs="Times New Roman"/>
          <w:lang w:val="en-US"/>
        </w:rPr>
        <w:t>The Debt to Equity Ratio (DER) in 2015 was 237.61%, indicating that for every Rp1 of equity, Rp2.37 was used to cover debt. In 2016, the DER value decreased to 220.67%, and further declined in 2017 to 209.18%. This decrease indicates an improvement in the company's capital structure, as the proportion of debt to equity is getting smaller.</w:t>
      </w:r>
    </w:p>
    <w:p w14:paraId="61DB0337" w14:textId="4B317FA6" w:rsidR="00F647D1" w:rsidRPr="00F647D1" w:rsidRDefault="00776EF6" w:rsidP="00F647D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00F647D1" w:rsidRPr="00F647D1">
        <w:rPr>
          <w:rFonts w:ascii="Book Antiqua" w:eastAsia="Times New Roman" w:hAnsi="Book Antiqua" w:cs="Times New Roman"/>
          <w:lang w:val="en-US"/>
        </w:rPr>
        <w:t xml:space="preserve">In 2018, the DER decreased again to 193.86%, then reached its lowest point in 2019 at 182.57%. However, in 2020 the ratio increased to 183.64%, followed by an increase in 2021 to 198.13%, and further increases in 2022 and 2023 to 193.87% each. In 2024, the DER value remained stable at around 193.87%. Overall, the average Debt to Equity Ratio during the period 2015–2024 was 237.61%. This figure is still below the industry standard of 300%, so it can be concluded that PT Charoen Pokphand Indonesia </w:t>
      </w:r>
      <w:proofErr w:type="spellStart"/>
      <w:r w:rsidR="00F647D1" w:rsidRPr="00F647D1">
        <w:rPr>
          <w:rFonts w:ascii="Book Antiqua" w:eastAsia="Times New Roman" w:hAnsi="Book Antiqua" w:cs="Times New Roman"/>
          <w:lang w:val="en-US"/>
        </w:rPr>
        <w:t>Tbk</w:t>
      </w:r>
      <w:proofErr w:type="spellEnd"/>
      <w:r w:rsidR="00F647D1" w:rsidRPr="00F647D1">
        <w:rPr>
          <w:rFonts w:ascii="Book Antiqua" w:eastAsia="Times New Roman" w:hAnsi="Book Antiqua" w:cs="Times New Roman"/>
          <w:lang w:val="en-US"/>
        </w:rPr>
        <w:t xml:space="preserve"> has a healthy and controlled capital structure. This means the company is still able to balance the use of debt and equity in funding its operational activities.</w:t>
      </w:r>
    </w:p>
    <w:p w14:paraId="00990A6A" w14:textId="44FAF33F" w:rsidR="00F647D1" w:rsidRDefault="00776EF6" w:rsidP="00F647D1">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00F647D1" w:rsidRPr="00F647D1">
        <w:rPr>
          <w:rFonts w:ascii="Book Antiqua" w:eastAsia="Times New Roman" w:hAnsi="Book Antiqua" w:cs="Times New Roman"/>
          <w:lang w:val="en-US"/>
        </w:rPr>
        <w:t xml:space="preserve">Based on this trend, it can be said that the company successfully manages its funding sources. The year-over-year decrease in DER indicates improved efficiency in the use of equity and reduced reliance on debt, </w:t>
      </w:r>
      <w:r w:rsidR="00F647D1" w:rsidRPr="00F647D1">
        <w:rPr>
          <w:rFonts w:ascii="Book Antiqua" w:eastAsia="Times New Roman" w:hAnsi="Book Antiqua" w:cs="Times New Roman"/>
          <w:lang w:val="en-US"/>
        </w:rPr>
        <w:lastRenderedPageBreak/>
        <w:t xml:space="preserve">suggesting that the financial condition of PT Charoen Pokphand Indonesia </w:t>
      </w:r>
      <w:proofErr w:type="spellStart"/>
      <w:r w:rsidR="00F647D1" w:rsidRPr="00F647D1">
        <w:rPr>
          <w:rFonts w:ascii="Book Antiqua" w:eastAsia="Times New Roman" w:hAnsi="Book Antiqua" w:cs="Times New Roman"/>
          <w:lang w:val="en-US"/>
        </w:rPr>
        <w:t>Tbk</w:t>
      </w:r>
      <w:proofErr w:type="spellEnd"/>
      <w:r w:rsidR="00F647D1" w:rsidRPr="00F647D1">
        <w:rPr>
          <w:rFonts w:ascii="Book Antiqua" w:eastAsia="Times New Roman" w:hAnsi="Book Antiqua" w:cs="Times New Roman"/>
          <w:lang w:val="en-US"/>
        </w:rPr>
        <w:t xml:space="preserve"> was stable and low-risk throughout the analysis period.</w:t>
      </w:r>
    </w:p>
    <w:p w14:paraId="03463D3A" w14:textId="38A782FB" w:rsidR="00776EF6" w:rsidRDefault="00776EF6" w:rsidP="00F647D1">
      <w:pPr>
        <w:pStyle w:val="ListParagraph"/>
        <w:spacing w:before="100" w:beforeAutospacing="1" w:after="100" w:afterAutospacing="1"/>
        <w:jc w:val="both"/>
        <w:rPr>
          <w:rFonts w:ascii="Book Antiqua" w:eastAsia="Times New Roman" w:hAnsi="Book Antiqua" w:cs="Times New Roman"/>
          <w:lang w:val="en-US"/>
        </w:rPr>
      </w:pPr>
    </w:p>
    <w:p w14:paraId="0D58B7C6" w14:textId="0AC54283" w:rsidR="00776EF6" w:rsidRPr="00776EF6" w:rsidRDefault="00776EF6" w:rsidP="00F647D1">
      <w:pPr>
        <w:pStyle w:val="ListParagraph"/>
        <w:spacing w:before="100" w:beforeAutospacing="1" w:after="100" w:afterAutospacing="1"/>
        <w:jc w:val="both"/>
        <w:rPr>
          <w:rFonts w:ascii="Book Antiqua" w:eastAsia="Times New Roman" w:hAnsi="Book Antiqua" w:cs="Times New Roman"/>
          <w:b/>
          <w:bCs/>
          <w:lang w:val="en-US"/>
        </w:rPr>
      </w:pPr>
      <w:r w:rsidRPr="00776EF6">
        <w:rPr>
          <w:rFonts w:ascii="Book Antiqua" w:eastAsia="Times New Roman" w:hAnsi="Book Antiqua" w:cs="Times New Roman"/>
          <w:b/>
          <w:bCs/>
          <w:lang w:val="en-US"/>
        </w:rPr>
        <w:t>Calculation Using the Dupont System</w:t>
      </w:r>
    </w:p>
    <w:p w14:paraId="119ED581" w14:textId="3CA64BF9" w:rsidR="00776EF6" w:rsidRPr="00776EF6" w:rsidRDefault="00776EF6" w:rsidP="00776EF6">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b/>
          <w:bCs/>
          <w:lang w:val="en-US"/>
        </w:rPr>
        <w:tab/>
      </w:r>
      <w:r w:rsidRPr="00776EF6">
        <w:rPr>
          <w:rFonts w:ascii="Book Antiqua" w:eastAsia="Times New Roman" w:hAnsi="Book Antiqua" w:cs="Times New Roman"/>
          <w:lang w:val="en-US"/>
        </w:rPr>
        <w:t xml:space="preserve">According to </w:t>
      </w:r>
      <w:proofErr w:type="spellStart"/>
      <w:r w:rsidRPr="00776EF6">
        <w:rPr>
          <w:rFonts w:ascii="Book Antiqua" w:eastAsia="Times New Roman" w:hAnsi="Book Antiqua" w:cs="Times New Roman"/>
          <w:lang w:val="en-US"/>
        </w:rPr>
        <w:t>Harahap</w:t>
      </w:r>
      <w:proofErr w:type="spellEnd"/>
      <w:r w:rsidRPr="00776EF6">
        <w:rPr>
          <w:rFonts w:ascii="Book Antiqua" w:eastAsia="Times New Roman" w:hAnsi="Book Antiqua" w:cs="Times New Roman"/>
          <w:lang w:val="en-US"/>
        </w:rPr>
        <w:t xml:space="preserve"> (2015:305), DuPont analysis is an analytical method used to show the relationship between various financial statement components in measuring the rate of return on investment or capital. This analysis helps determine the extent to which a company is able to control costs, asset efficiency, and capital utilization to generate profits.</w:t>
      </w:r>
    </w:p>
    <w:p w14:paraId="1D998C15" w14:textId="52BD6E04" w:rsidR="00F647D1" w:rsidRDefault="00776EF6" w:rsidP="00776EF6">
      <w:pPr>
        <w:pStyle w:val="ListParagraph"/>
        <w:spacing w:before="100" w:beforeAutospacing="1" w:after="100" w:afterAutospacing="1"/>
        <w:jc w:val="both"/>
        <w:rPr>
          <w:rFonts w:ascii="Book Antiqua" w:eastAsia="Times New Roman" w:hAnsi="Book Antiqua" w:cs="Times New Roman"/>
          <w:lang w:val="en-US"/>
        </w:rPr>
      </w:pPr>
      <w:r w:rsidRPr="00776EF6">
        <w:rPr>
          <w:rFonts w:ascii="Book Antiqua" w:eastAsia="Times New Roman" w:hAnsi="Book Antiqua" w:cs="Times New Roman"/>
          <w:lang w:val="en-US"/>
        </w:rPr>
        <w:t>There are two models in Dupont analysis, namely:</w:t>
      </w:r>
    </w:p>
    <w:p w14:paraId="48327222" w14:textId="58F21EA6" w:rsidR="00776EF6" w:rsidRDefault="00776EF6" w:rsidP="00776EF6">
      <w:pPr>
        <w:pStyle w:val="ListParagraph"/>
        <w:numPr>
          <w:ilvl w:val="0"/>
          <w:numId w:val="13"/>
        </w:numPr>
        <w:spacing w:before="100" w:beforeAutospacing="1" w:after="100" w:afterAutospacing="1"/>
        <w:jc w:val="both"/>
        <w:rPr>
          <w:rFonts w:ascii="Book Antiqua" w:eastAsia="Times New Roman" w:hAnsi="Book Antiqua" w:cs="Times New Roman"/>
          <w:lang w:val="en-US"/>
        </w:rPr>
      </w:pPr>
      <w:r w:rsidRPr="00776EF6">
        <w:rPr>
          <w:rFonts w:ascii="Book Antiqua" w:eastAsia="Times New Roman" w:hAnsi="Book Antiqua" w:cs="Times New Roman"/>
          <w:b/>
          <w:bCs/>
          <w:lang w:val="en-US"/>
        </w:rPr>
        <w:t xml:space="preserve">Model I (Return </w:t>
      </w:r>
      <w:proofErr w:type="gramStart"/>
      <w:r w:rsidRPr="00776EF6">
        <w:rPr>
          <w:rFonts w:ascii="Book Antiqua" w:eastAsia="Times New Roman" w:hAnsi="Book Antiqua" w:cs="Times New Roman"/>
          <w:b/>
          <w:bCs/>
          <w:lang w:val="en-US"/>
        </w:rPr>
        <w:t>On</w:t>
      </w:r>
      <w:proofErr w:type="gramEnd"/>
      <w:r w:rsidRPr="00776EF6">
        <w:rPr>
          <w:rFonts w:ascii="Book Antiqua" w:eastAsia="Times New Roman" w:hAnsi="Book Antiqua" w:cs="Times New Roman"/>
          <w:b/>
          <w:bCs/>
          <w:lang w:val="en-US"/>
        </w:rPr>
        <w:t xml:space="preserve"> Assets / ROA)</w:t>
      </w:r>
      <w:r w:rsidRPr="00776EF6">
        <w:rPr>
          <w:rFonts w:ascii="Book Antiqua" w:eastAsia="Times New Roman" w:hAnsi="Book Antiqua" w:cs="Times New Roman"/>
          <w:lang w:val="en-US"/>
        </w:rPr>
        <w:t xml:space="preserve"> This model measures a company's ability to generate net profit based on the total assets used. The higher the ROA value, the more efficient the company is in utilizing all its assets to generate profit.</w:t>
      </w:r>
    </w:p>
    <w:p w14:paraId="178F66DD" w14:textId="641FE8F1" w:rsidR="00776EF6" w:rsidRDefault="00776EF6" w:rsidP="00776EF6">
      <w:pPr>
        <w:pStyle w:val="ListParagraph"/>
        <w:spacing w:before="100" w:beforeAutospacing="1" w:after="100" w:afterAutospacing="1"/>
        <w:ind w:left="1440"/>
        <w:jc w:val="both"/>
        <w:rPr>
          <w:rFonts w:ascii="Book Antiqua" w:eastAsia="Times New Roman" w:hAnsi="Book Antiqua" w:cs="Times New Roman"/>
          <w:lang w:val="en-US"/>
        </w:rPr>
      </w:pPr>
      <w:r w:rsidRPr="00776EF6">
        <w:rPr>
          <w:rFonts w:ascii="Book Antiqua" w:eastAsia="Times New Roman" w:hAnsi="Book Antiqua" w:cs="Times New Roman"/>
          <w:lang w:val="en-US"/>
        </w:rPr>
        <w:t xml:space="preserve">ROA = </w:t>
      </w: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Earning After Tax (EAT)</m:t>
            </m:r>
          </m:num>
          <m:den>
            <m:r>
              <w:rPr>
                <w:rFonts w:ascii="Cambria Math" w:eastAsia="Times New Roman" w:hAnsi="Cambria Math" w:cs="Times New Roman"/>
                <w:lang w:val="en-US"/>
              </w:rPr>
              <m:t>Total assets</m:t>
            </m:r>
          </m:den>
        </m:f>
      </m:oMath>
      <w:r w:rsidRPr="00776EF6">
        <w:rPr>
          <w:rFonts w:ascii="Book Antiqua" w:eastAsia="Times New Roman" w:hAnsi="Book Antiqua" w:cs="Times New Roman"/>
          <w:lang w:val="en-US"/>
        </w:rPr>
        <w:t xml:space="preserve"> x 100%</w:t>
      </w:r>
    </w:p>
    <w:p w14:paraId="37384DB4" w14:textId="77777777" w:rsidR="00776EF6" w:rsidRPr="00776EF6" w:rsidRDefault="00776EF6" w:rsidP="00776EF6">
      <w:pPr>
        <w:pStyle w:val="ListParagraph"/>
        <w:spacing w:before="100" w:beforeAutospacing="1" w:after="100" w:afterAutospacing="1"/>
        <w:ind w:left="1440"/>
        <w:jc w:val="both"/>
        <w:rPr>
          <w:rFonts w:ascii="Book Antiqua" w:eastAsia="Times New Roman" w:hAnsi="Book Antiqua" w:cs="Times New Roman"/>
          <w:lang w:val="en-US"/>
        </w:rPr>
      </w:pPr>
    </w:p>
    <w:p w14:paraId="3EDCB778" w14:textId="2A1BAA58" w:rsidR="00776EF6" w:rsidRDefault="00776EF6" w:rsidP="00776EF6">
      <w:pPr>
        <w:pStyle w:val="ListParagraph"/>
        <w:spacing w:before="100" w:beforeAutospacing="1" w:after="100" w:afterAutospacing="1"/>
        <w:jc w:val="center"/>
        <w:rPr>
          <w:rFonts w:ascii="Book Antiqua" w:eastAsia="Times New Roman" w:hAnsi="Book Antiqua" w:cs="Times New Roman"/>
          <w:b/>
          <w:bCs/>
          <w:lang w:val="en-US"/>
        </w:rPr>
      </w:pPr>
      <w:r w:rsidRPr="00776EF6">
        <w:rPr>
          <w:rFonts w:ascii="Book Antiqua" w:eastAsia="Times New Roman" w:hAnsi="Book Antiqua" w:cs="Times New Roman"/>
          <w:b/>
          <w:bCs/>
          <w:lang w:val="en-US"/>
        </w:rPr>
        <w:t xml:space="preserve">Table 6. </w:t>
      </w:r>
      <w:r w:rsidRPr="00776EF6">
        <w:rPr>
          <w:rFonts w:ascii="Book Antiqua" w:eastAsia="Times New Roman" w:hAnsi="Book Antiqua" w:cs="Times New Roman"/>
          <w:lang w:val="en-US"/>
        </w:rPr>
        <w:t>Calculation of Return on Assets (ROA) for the Years 2015-2024</w:t>
      </w:r>
    </w:p>
    <w:p w14:paraId="61D6B2AA" w14:textId="7F295D91" w:rsidR="00776EF6" w:rsidRDefault="00776EF6" w:rsidP="000A1F91">
      <w:pPr>
        <w:pStyle w:val="ListParagraph"/>
        <w:spacing w:before="100" w:beforeAutospacing="1" w:after="100" w:afterAutospacing="1"/>
        <w:jc w:val="both"/>
        <w:rPr>
          <w:rFonts w:ascii="Book Antiqua" w:eastAsia="Times New Roman" w:hAnsi="Book Antiqua" w:cs="Times New Roman"/>
          <w:b/>
          <w:bCs/>
          <w:lang w:val="en-US"/>
        </w:rPr>
      </w:pPr>
      <w:r>
        <w:rPr>
          <w:rFonts w:ascii="Book Antiqua" w:eastAsia="Times New Roman" w:hAnsi="Book Antiqua" w:cs="Times New Roman"/>
          <w:b/>
          <w:bCs/>
          <w:noProof/>
          <w:lang w:val="en-US"/>
        </w:rPr>
        <w:drawing>
          <wp:anchor distT="0" distB="0" distL="114300" distR="114300" simplePos="0" relativeHeight="251662336" behindDoc="0" locked="0" layoutInCell="1" allowOverlap="1" wp14:anchorId="04E27393" wp14:editId="7542DBB7">
            <wp:simplePos x="0" y="0"/>
            <wp:positionH relativeFrom="column">
              <wp:posOffset>89651</wp:posOffset>
            </wp:positionH>
            <wp:positionV relativeFrom="paragraph">
              <wp:posOffset>6350</wp:posOffset>
            </wp:positionV>
            <wp:extent cx="5944235" cy="81724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817245"/>
                    </a:xfrm>
                    <a:prstGeom prst="rect">
                      <a:avLst/>
                    </a:prstGeom>
                    <a:noFill/>
                  </pic:spPr>
                </pic:pic>
              </a:graphicData>
            </a:graphic>
          </wp:anchor>
        </w:drawing>
      </w:r>
    </w:p>
    <w:p w14:paraId="4CC780F0" w14:textId="77777777" w:rsidR="00776EF6" w:rsidRDefault="00776EF6" w:rsidP="000A1F91">
      <w:pPr>
        <w:pStyle w:val="ListParagraph"/>
        <w:spacing w:before="100" w:beforeAutospacing="1" w:after="100" w:afterAutospacing="1"/>
        <w:jc w:val="both"/>
        <w:rPr>
          <w:rFonts w:ascii="Book Antiqua" w:eastAsia="Times New Roman" w:hAnsi="Book Antiqua" w:cs="Times New Roman"/>
          <w:b/>
          <w:bCs/>
          <w:lang w:val="en-US"/>
        </w:rPr>
      </w:pPr>
    </w:p>
    <w:p w14:paraId="4EDBF53B" w14:textId="4741FAD1" w:rsidR="00776EF6" w:rsidRDefault="00776EF6" w:rsidP="000A1F91">
      <w:pPr>
        <w:pStyle w:val="ListParagraph"/>
        <w:spacing w:before="100" w:beforeAutospacing="1" w:after="100" w:afterAutospacing="1"/>
        <w:jc w:val="both"/>
        <w:rPr>
          <w:rFonts w:ascii="Book Antiqua" w:eastAsia="Times New Roman" w:hAnsi="Book Antiqua" w:cs="Times New Roman"/>
          <w:b/>
          <w:bCs/>
          <w:lang w:val="en-US"/>
        </w:rPr>
      </w:pPr>
    </w:p>
    <w:p w14:paraId="493FFFB6" w14:textId="3741D683" w:rsidR="00776EF6" w:rsidRDefault="00776EF6" w:rsidP="000A1F91">
      <w:pPr>
        <w:pStyle w:val="ListParagraph"/>
        <w:spacing w:before="100" w:beforeAutospacing="1" w:after="100" w:afterAutospacing="1"/>
        <w:jc w:val="both"/>
        <w:rPr>
          <w:rFonts w:ascii="Book Antiqua" w:eastAsia="Times New Roman" w:hAnsi="Book Antiqua" w:cs="Times New Roman"/>
          <w:b/>
          <w:bCs/>
          <w:lang w:val="en-US"/>
        </w:rPr>
      </w:pPr>
    </w:p>
    <w:p w14:paraId="73CF40EB" w14:textId="70FA75B3" w:rsidR="00776EF6" w:rsidRDefault="00776EF6" w:rsidP="000A1F91">
      <w:pPr>
        <w:pStyle w:val="ListParagraph"/>
        <w:spacing w:before="100" w:beforeAutospacing="1" w:after="100" w:afterAutospacing="1"/>
        <w:jc w:val="both"/>
        <w:rPr>
          <w:rFonts w:ascii="Book Antiqua" w:eastAsia="Times New Roman" w:hAnsi="Book Antiqua" w:cs="Times New Roman"/>
          <w:b/>
          <w:bCs/>
          <w:lang w:val="en-US"/>
        </w:rPr>
      </w:pPr>
    </w:p>
    <w:p w14:paraId="34C1480E" w14:textId="1A39E44D" w:rsidR="00776EF6" w:rsidRPr="00776EF6" w:rsidRDefault="00776EF6" w:rsidP="00776EF6">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776EF6">
        <w:rPr>
          <w:rFonts w:ascii="Book Antiqua" w:eastAsia="Times New Roman" w:hAnsi="Book Antiqua" w:cs="Times New Roman"/>
          <w:lang w:val="en-US"/>
        </w:rPr>
        <w:t xml:space="preserve">The Dupont Model I analysis is used to measure the extent to which a company is effective in generating net profit (EAT) from its total assets. Based on calculations for the period 2018–2022, the Return on Assets (ROA) value of PT Charoen Pokphand Indonesia </w:t>
      </w:r>
      <w:proofErr w:type="spellStart"/>
      <w:r w:rsidRPr="00776EF6">
        <w:rPr>
          <w:rFonts w:ascii="Book Antiqua" w:eastAsia="Times New Roman" w:hAnsi="Book Antiqua" w:cs="Times New Roman"/>
          <w:lang w:val="en-US"/>
        </w:rPr>
        <w:t>Tbk</w:t>
      </w:r>
      <w:proofErr w:type="spellEnd"/>
      <w:r w:rsidRPr="00776EF6">
        <w:rPr>
          <w:rFonts w:ascii="Book Antiqua" w:eastAsia="Times New Roman" w:hAnsi="Book Antiqua" w:cs="Times New Roman"/>
          <w:lang w:val="en-US"/>
        </w:rPr>
        <w:t xml:space="preserve"> decreased year by year.</w:t>
      </w:r>
      <w:r>
        <w:rPr>
          <w:rFonts w:ascii="Book Antiqua" w:eastAsia="Times New Roman" w:hAnsi="Book Antiqua" w:cs="Times New Roman"/>
          <w:lang w:val="en-US"/>
        </w:rPr>
        <w:t xml:space="preserve"> </w:t>
      </w:r>
      <w:r w:rsidRPr="00776EF6">
        <w:rPr>
          <w:rFonts w:ascii="Book Antiqua" w:eastAsia="Times New Roman" w:hAnsi="Book Antiqua" w:cs="Times New Roman"/>
          <w:lang w:val="en-US"/>
        </w:rPr>
        <w:t xml:space="preserve">In 2018, the company's ROA value was 16.46%, indicating that every Rp1 of assets was able to generate a net profit of Rp0.1646. However, in 2019, this ratio decreased to 12.51%, and further declined in 2020 to 12.34%. This decrease indicates an increase in assets that was not matched by a corresponding growth in net profit. In 2021, the ROA value decreased again to 10.21%, and reached its lowest point in 2022 at 7.35%. On average over the five-year period, the company's ROA value was recorded at 11.78%. This decline in the ratio indicates a weakening in the company's ability to manage assets to generate profit. Nevertheless, an ROA value above 5% is still considered good for a large manufacturing company like PT Charoen Pokphand Indonesia </w:t>
      </w:r>
      <w:proofErr w:type="spellStart"/>
      <w:r w:rsidRPr="00776EF6">
        <w:rPr>
          <w:rFonts w:ascii="Book Antiqua" w:eastAsia="Times New Roman" w:hAnsi="Book Antiqua" w:cs="Times New Roman"/>
          <w:lang w:val="en-US"/>
        </w:rPr>
        <w:t>Tbk</w:t>
      </w:r>
      <w:proofErr w:type="spellEnd"/>
      <w:r w:rsidRPr="00776EF6">
        <w:rPr>
          <w:rFonts w:ascii="Book Antiqua" w:eastAsia="Times New Roman" w:hAnsi="Book Antiqua" w:cs="Times New Roman"/>
          <w:lang w:val="en-US"/>
        </w:rPr>
        <w:t>, as it indicates that assets can still generate positive profits. However, this downward trend indicates the need for improved efficiency in asset utilization so that profitability performance can increase again.</w:t>
      </w:r>
    </w:p>
    <w:p w14:paraId="2F2550C8" w14:textId="30EB1224" w:rsidR="00776EF6" w:rsidRDefault="00776EF6" w:rsidP="00776EF6">
      <w:pPr>
        <w:pStyle w:val="ListParagraph"/>
        <w:numPr>
          <w:ilvl w:val="0"/>
          <w:numId w:val="13"/>
        </w:numPr>
        <w:spacing w:before="100" w:beforeAutospacing="1" w:after="100" w:afterAutospacing="1"/>
        <w:jc w:val="both"/>
        <w:rPr>
          <w:rFonts w:ascii="Book Antiqua" w:eastAsia="Times New Roman" w:hAnsi="Book Antiqua" w:cs="Times New Roman"/>
          <w:lang w:val="en-US"/>
        </w:rPr>
      </w:pPr>
      <w:r w:rsidRPr="00776EF6">
        <w:rPr>
          <w:rFonts w:ascii="Book Antiqua" w:eastAsia="Times New Roman" w:hAnsi="Book Antiqua" w:cs="Times New Roman"/>
          <w:b/>
          <w:bCs/>
          <w:lang w:val="en-US"/>
        </w:rPr>
        <w:t>Model II (Return on Equity / ROE)</w:t>
      </w:r>
      <w:r w:rsidRPr="00776EF6">
        <w:rPr>
          <w:rFonts w:ascii="Book Antiqua" w:eastAsia="Times New Roman" w:hAnsi="Book Antiqua" w:cs="Times New Roman"/>
          <w:lang w:val="en-US"/>
        </w:rPr>
        <w:t xml:space="preserve"> This model shows the company's ability to generate net profit based on its own capital (equity). The higher the ROE value, the greater the profit shareholders receive on the capital invested.</w:t>
      </w:r>
    </w:p>
    <w:p w14:paraId="4523B24A" w14:textId="4EAD27CB" w:rsidR="00776EF6" w:rsidRPr="00125594" w:rsidRDefault="00776EF6" w:rsidP="00776EF6">
      <w:pPr>
        <w:pStyle w:val="ListParagraph"/>
        <w:spacing w:before="100" w:beforeAutospacing="1" w:after="100" w:afterAutospacing="1"/>
        <w:ind w:left="1440"/>
        <w:jc w:val="both"/>
        <w:rPr>
          <w:rFonts w:ascii="Book Antiqua" w:eastAsia="Times New Roman" w:hAnsi="Book Antiqua" w:cs="Times New Roman"/>
          <w:lang w:val="nl-NL"/>
        </w:rPr>
      </w:pPr>
      <w:r w:rsidRPr="00125594">
        <w:rPr>
          <w:rFonts w:ascii="Book Antiqua" w:eastAsia="Times New Roman" w:hAnsi="Book Antiqua" w:cs="Times New Roman"/>
          <w:lang w:val="nl-NL"/>
        </w:rPr>
        <w:lastRenderedPageBreak/>
        <w:t xml:space="preserve">ROE = </w:t>
      </w:r>
      <m:oMath>
        <m:f>
          <m:fPr>
            <m:ctrlPr>
              <w:rPr>
                <w:rFonts w:ascii="Cambria Math" w:eastAsia="Times New Roman" w:hAnsi="Cambria Math" w:cs="Times New Roman"/>
                <w:i/>
                <w:lang w:val="en-US"/>
              </w:rPr>
            </m:ctrlPr>
          </m:fPr>
          <m:num>
            <m:r>
              <w:rPr>
                <w:rFonts w:ascii="Cambria Math" w:eastAsia="Times New Roman" w:hAnsi="Cambria Math" w:cs="Times New Roman"/>
                <w:lang w:val="en-US"/>
              </w:rPr>
              <m:t>Earning</m:t>
            </m:r>
            <m:r>
              <w:rPr>
                <w:rFonts w:ascii="Cambria Math" w:eastAsia="Times New Roman" w:hAnsi="Cambria Math" w:cs="Times New Roman"/>
                <w:lang w:val="nl-NL"/>
              </w:rPr>
              <m:t xml:space="preserve"> </m:t>
            </m:r>
            <m:r>
              <w:rPr>
                <w:rFonts w:ascii="Cambria Math" w:eastAsia="Times New Roman" w:hAnsi="Cambria Math" w:cs="Times New Roman"/>
                <w:lang w:val="en-US"/>
              </w:rPr>
              <m:t>After</m:t>
            </m:r>
            <m:r>
              <w:rPr>
                <w:rFonts w:ascii="Cambria Math" w:eastAsia="Times New Roman" w:hAnsi="Cambria Math" w:cs="Times New Roman"/>
                <w:lang w:val="nl-NL"/>
              </w:rPr>
              <m:t xml:space="preserve"> </m:t>
            </m:r>
            <m:r>
              <w:rPr>
                <w:rFonts w:ascii="Cambria Math" w:eastAsia="Times New Roman" w:hAnsi="Cambria Math" w:cs="Times New Roman"/>
                <w:lang w:val="en-US"/>
              </w:rPr>
              <m:t>Tax</m:t>
            </m:r>
            <m:r>
              <w:rPr>
                <w:rFonts w:ascii="Cambria Math" w:eastAsia="Times New Roman" w:hAnsi="Cambria Math" w:cs="Times New Roman"/>
                <w:lang w:val="nl-NL"/>
              </w:rPr>
              <m:t xml:space="preserve"> (</m:t>
            </m:r>
            <m:r>
              <w:rPr>
                <w:rFonts w:ascii="Cambria Math" w:eastAsia="Times New Roman" w:hAnsi="Cambria Math" w:cs="Times New Roman"/>
                <w:lang w:val="en-US"/>
              </w:rPr>
              <m:t>EAT</m:t>
            </m:r>
            <m:r>
              <w:rPr>
                <w:rFonts w:ascii="Cambria Math" w:eastAsia="Times New Roman" w:hAnsi="Cambria Math" w:cs="Times New Roman"/>
                <w:lang w:val="nl-NL"/>
              </w:rPr>
              <m:t>)</m:t>
            </m:r>
          </m:num>
          <m:den>
            <m:r>
              <w:rPr>
                <w:rFonts w:ascii="Cambria Math" w:eastAsia="Times New Roman" w:hAnsi="Cambria Math" w:cs="Times New Roman"/>
                <w:lang w:val="en-US"/>
              </w:rPr>
              <m:t>Total</m:t>
            </m:r>
            <m:r>
              <w:rPr>
                <w:rFonts w:ascii="Cambria Math" w:eastAsia="Times New Roman" w:hAnsi="Cambria Math" w:cs="Times New Roman"/>
                <w:lang w:val="nl-NL"/>
              </w:rPr>
              <m:t xml:space="preserve"> </m:t>
            </m:r>
            <m:r>
              <w:rPr>
                <w:rFonts w:ascii="Cambria Math" w:eastAsia="Times New Roman" w:hAnsi="Cambria Math" w:cs="Times New Roman"/>
                <w:lang w:val="en-US"/>
              </w:rPr>
              <m:t>equity</m:t>
            </m:r>
          </m:den>
        </m:f>
      </m:oMath>
      <w:r w:rsidRPr="00125594">
        <w:rPr>
          <w:rFonts w:ascii="Book Antiqua" w:eastAsia="Times New Roman" w:hAnsi="Book Antiqua" w:cs="Times New Roman"/>
          <w:lang w:val="nl-NL"/>
        </w:rPr>
        <w:t xml:space="preserve"> x 100%</w:t>
      </w:r>
    </w:p>
    <w:p w14:paraId="15D9CC71" w14:textId="5F84B95B" w:rsidR="00776EF6" w:rsidRPr="00125594" w:rsidRDefault="00776EF6" w:rsidP="000A1F91">
      <w:pPr>
        <w:pStyle w:val="ListParagraph"/>
        <w:spacing w:before="100" w:beforeAutospacing="1" w:after="100" w:afterAutospacing="1"/>
        <w:jc w:val="both"/>
        <w:rPr>
          <w:rFonts w:ascii="Book Antiqua" w:eastAsia="Times New Roman" w:hAnsi="Book Antiqua" w:cs="Times New Roman"/>
          <w:b/>
          <w:bCs/>
          <w:lang w:val="nl-NL"/>
        </w:rPr>
      </w:pPr>
    </w:p>
    <w:p w14:paraId="0DDD3AA9" w14:textId="5A49170A" w:rsidR="00776EF6" w:rsidRPr="00776EF6" w:rsidRDefault="00776EF6" w:rsidP="00776EF6">
      <w:pPr>
        <w:pStyle w:val="ListParagraph"/>
        <w:spacing w:before="100" w:beforeAutospacing="1" w:after="100" w:afterAutospacing="1"/>
        <w:jc w:val="center"/>
        <w:rPr>
          <w:rFonts w:ascii="Book Antiqua" w:eastAsia="Times New Roman" w:hAnsi="Book Antiqua" w:cs="Times New Roman"/>
          <w:lang w:val="en-US"/>
        </w:rPr>
      </w:pPr>
      <w:r w:rsidRPr="00776EF6">
        <w:rPr>
          <w:rFonts w:ascii="Book Antiqua" w:eastAsia="Times New Roman" w:hAnsi="Book Antiqua" w:cs="Times New Roman"/>
          <w:b/>
          <w:bCs/>
          <w:lang w:val="en-US"/>
        </w:rPr>
        <w:t xml:space="preserve">Table 7. </w:t>
      </w:r>
      <w:r w:rsidRPr="00776EF6">
        <w:rPr>
          <w:rFonts w:ascii="Book Antiqua" w:eastAsia="Times New Roman" w:hAnsi="Book Antiqua" w:cs="Times New Roman"/>
          <w:lang w:val="en-US"/>
        </w:rPr>
        <w:t>Calculation of Return on Equity (ROE) for the Years 2015-2024</w:t>
      </w:r>
    </w:p>
    <w:p w14:paraId="1BD6B89F" w14:textId="3B04DF53" w:rsidR="00776EF6" w:rsidRDefault="00776EF6" w:rsidP="00776EF6">
      <w:pPr>
        <w:pStyle w:val="ListParagraph"/>
        <w:tabs>
          <w:tab w:val="left" w:pos="3903"/>
        </w:tabs>
        <w:spacing w:before="100" w:beforeAutospacing="1" w:after="100" w:afterAutospacing="1"/>
        <w:rPr>
          <w:rFonts w:ascii="Book Antiqua" w:eastAsia="Times New Roman" w:hAnsi="Book Antiqua" w:cs="Times New Roman"/>
          <w:b/>
          <w:bCs/>
          <w:lang w:val="en-US"/>
        </w:rPr>
      </w:pPr>
      <w:r>
        <w:rPr>
          <w:rFonts w:ascii="Book Antiqua" w:eastAsia="Times New Roman" w:hAnsi="Book Antiqua" w:cs="Times New Roman"/>
          <w:b/>
          <w:bCs/>
          <w:noProof/>
          <w:lang w:val="en-US"/>
        </w:rPr>
        <w:drawing>
          <wp:anchor distT="0" distB="0" distL="114300" distR="114300" simplePos="0" relativeHeight="251663360" behindDoc="0" locked="0" layoutInCell="1" allowOverlap="1" wp14:anchorId="0797DAE2" wp14:editId="0B5FC577">
            <wp:simplePos x="0" y="0"/>
            <wp:positionH relativeFrom="column">
              <wp:posOffset>180765</wp:posOffset>
            </wp:positionH>
            <wp:positionV relativeFrom="paragraph">
              <wp:posOffset>61333</wp:posOffset>
            </wp:positionV>
            <wp:extent cx="5944235" cy="817245"/>
            <wp:effectExtent l="0" t="0" r="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4235" cy="817245"/>
                    </a:xfrm>
                    <a:prstGeom prst="rect">
                      <a:avLst/>
                    </a:prstGeom>
                    <a:noFill/>
                  </pic:spPr>
                </pic:pic>
              </a:graphicData>
            </a:graphic>
          </wp:anchor>
        </w:drawing>
      </w:r>
      <w:r>
        <w:rPr>
          <w:rFonts w:ascii="Book Antiqua" w:eastAsia="Times New Roman" w:hAnsi="Book Antiqua" w:cs="Times New Roman"/>
          <w:b/>
          <w:bCs/>
          <w:lang w:val="en-US"/>
        </w:rPr>
        <w:tab/>
      </w:r>
    </w:p>
    <w:p w14:paraId="10BBCBD4" w14:textId="57322D68" w:rsidR="00776EF6" w:rsidRDefault="00776EF6" w:rsidP="00776EF6">
      <w:pPr>
        <w:pStyle w:val="ListParagraph"/>
        <w:spacing w:before="100" w:beforeAutospacing="1" w:after="100" w:afterAutospacing="1"/>
        <w:jc w:val="center"/>
        <w:rPr>
          <w:rFonts w:ascii="Book Antiqua" w:eastAsia="Times New Roman" w:hAnsi="Book Antiqua" w:cs="Times New Roman"/>
          <w:b/>
          <w:bCs/>
          <w:lang w:val="en-US"/>
        </w:rPr>
      </w:pPr>
    </w:p>
    <w:p w14:paraId="54E3C65A" w14:textId="413D5EE9" w:rsidR="00776EF6" w:rsidRDefault="00776EF6" w:rsidP="00776EF6">
      <w:pPr>
        <w:pStyle w:val="ListParagraph"/>
        <w:spacing w:before="100" w:beforeAutospacing="1" w:after="100" w:afterAutospacing="1"/>
        <w:jc w:val="center"/>
        <w:rPr>
          <w:rFonts w:ascii="Book Antiqua" w:eastAsia="Times New Roman" w:hAnsi="Book Antiqua" w:cs="Times New Roman"/>
          <w:b/>
          <w:bCs/>
          <w:lang w:val="en-US"/>
        </w:rPr>
      </w:pPr>
    </w:p>
    <w:p w14:paraId="6A6EDFEB" w14:textId="3A911AF4" w:rsidR="00776EF6" w:rsidRDefault="00776EF6" w:rsidP="00776EF6">
      <w:pPr>
        <w:pStyle w:val="ListParagraph"/>
        <w:spacing w:before="100" w:beforeAutospacing="1" w:after="100" w:afterAutospacing="1"/>
        <w:jc w:val="center"/>
        <w:rPr>
          <w:rFonts w:ascii="Book Antiqua" w:eastAsia="Times New Roman" w:hAnsi="Book Antiqua" w:cs="Times New Roman"/>
          <w:b/>
          <w:bCs/>
          <w:lang w:val="en-US"/>
        </w:rPr>
      </w:pPr>
    </w:p>
    <w:p w14:paraId="6BC3E1A6" w14:textId="54B4836E" w:rsidR="00776EF6" w:rsidRDefault="00776EF6" w:rsidP="00776EF6">
      <w:pPr>
        <w:pStyle w:val="ListParagraph"/>
        <w:spacing w:before="100" w:beforeAutospacing="1" w:after="100" w:afterAutospacing="1"/>
        <w:jc w:val="center"/>
        <w:rPr>
          <w:rFonts w:ascii="Book Antiqua" w:eastAsia="Times New Roman" w:hAnsi="Book Antiqua" w:cs="Times New Roman"/>
          <w:b/>
          <w:bCs/>
          <w:lang w:val="en-US"/>
        </w:rPr>
      </w:pPr>
    </w:p>
    <w:p w14:paraId="446E46C8" w14:textId="0C2ECAC2" w:rsidR="00B32235" w:rsidRPr="000A1F91" w:rsidRDefault="00776EF6" w:rsidP="009977B4">
      <w:pPr>
        <w:pStyle w:val="ListParagraph"/>
        <w:spacing w:before="100" w:beforeAutospacing="1" w:after="100" w:afterAutospacing="1"/>
        <w:jc w:val="both"/>
        <w:rPr>
          <w:rFonts w:ascii="Book Antiqua" w:eastAsia="Times New Roman" w:hAnsi="Book Antiqua" w:cs="Times New Roman"/>
          <w:lang w:val="en-US"/>
        </w:rPr>
      </w:pPr>
      <w:r>
        <w:rPr>
          <w:rFonts w:ascii="Book Antiqua" w:eastAsia="Times New Roman" w:hAnsi="Book Antiqua" w:cs="Times New Roman"/>
          <w:lang w:val="en-US"/>
        </w:rPr>
        <w:tab/>
      </w:r>
      <w:r w:rsidRPr="00776EF6">
        <w:rPr>
          <w:rFonts w:ascii="Book Antiqua" w:eastAsia="Times New Roman" w:hAnsi="Book Antiqua" w:cs="Times New Roman"/>
          <w:lang w:val="en-US"/>
        </w:rPr>
        <w:t xml:space="preserve">The Dupont Model II measures a company's ability to generate net profit against total equity (shareholder's equity). Based on calculations for the period 2018–2022, the Return on Equity (ROE) value of PT Charoen Pokphand Indonesia </w:t>
      </w:r>
      <w:proofErr w:type="spellStart"/>
      <w:r w:rsidRPr="00776EF6">
        <w:rPr>
          <w:rFonts w:ascii="Book Antiqua" w:eastAsia="Times New Roman" w:hAnsi="Book Antiqua" w:cs="Times New Roman"/>
          <w:lang w:val="en-US"/>
        </w:rPr>
        <w:t>Tbk</w:t>
      </w:r>
      <w:proofErr w:type="spellEnd"/>
      <w:r w:rsidRPr="00776EF6">
        <w:rPr>
          <w:rFonts w:ascii="Book Antiqua" w:eastAsia="Times New Roman" w:hAnsi="Book Antiqua" w:cs="Times New Roman"/>
          <w:lang w:val="en-US"/>
        </w:rPr>
        <w:t xml:space="preserve"> also experienced a significant downward fluctuation.</w:t>
      </w:r>
      <w:r>
        <w:rPr>
          <w:rFonts w:ascii="Book Antiqua" w:eastAsia="Times New Roman" w:hAnsi="Book Antiqua" w:cs="Times New Roman"/>
          <w:lang w:val="en-US"/>
        </w:rPr>
        <w:t xml:space="preserve"> </w:t>
      </w:r>
      <w:r w:rsidRPr="00776EF6">
        <w:rPr>
          <w:rFonts w:ascii="Book Antiqua" w:eastAsia="Times New Roman" w:hAnsi="Book Antiqua" w:cs="Times New Roman"/>
          <w:lang w:val="en-US"/>
        </w:rPr>
        <w:t>In 2018, the ROE value was 23.47%, then decreased to 17.43% in 2019, and 16.47% in 2020. Furthermore, in 2021, this ratio dropped again to 14.39%, and in 2022 reached 11.13%. The average ROE value over the past five years is 16.58%. This decline in the ratio indicates that the return on shareholders' invested equity is decreasing. Although the average value is still considered quite good (above 10%), the declining trend indicates that the company's capital usage efficiency and profitability need to be improved.</w:t>
      </w:r>
      <w:r>
        <w:rPr>
          <w:rFonts w:ascii="Book Antiqua" w:eastAsia="Times New Roman" w:hAnsi="Book Antiqua" w:cs="Times New Roman"/>
          <w:lang w:val="en-US"/>
        </w:rPr>
        <w:t xml:space="preserve"> </w:t>
      </w:r>
      <w:r w:rsidRPr="00776EF6">
        <w:rPr>
          <w:rFonts w:ascii="Book Antiqua" w:eastAsia="Times New Roman" w:hAnsi="Book Antiqua" w:cs="Times New Roman"/>
          <w:lang w:val="en-US"/>
        </w:rPr>
        <w:t>This could be due to an increase in total equity that is not matched by significant net profit growth, or to pressure on production and operating costs that is squeezing profit margins. Overall, the results of the Dupont Model II analysis indicate that the company's return on capital performance is still positive, but needs to be improved to provide greater added value for shareholders.</w:t>
      </w:r>
    </w:p>
    <w:p w14:paraId="32FC4C78" w14:textId="77777777" w:rsidR="007E0AE8" w:rsidRPr="000A1F91" w:rsidRDefault="007E0AE8" w:rsidP="000A1F91">
      <w:pPr>
        <w:jc w:val="both"/>
        <w:rPr>
          <w:rFonts w:ascii="Book Antiqua" w:hAnsi="Book Antiqua"/>
          <w:lang w:val="en-US"/>
        </w:rPr>
      </w:pPr>
    </w:p>
    <w:p w14:paraId="140E68F8" w14:textId="231BC9A4" w:rsidR="007E0AE8" w:rsidRPr="000A1F91" w:rsidRDefault="0067747E" w:rsidP="000A1F91">
      <w:pPr>
        <w:jc w:val="both"/>
        <w:rPr>
          <w:rFonts w:ascii="Book Antiqua" w:hAnsi="Book Antiqua"/>
          <w:b/>
          <w:bCs/>
          <w:lang w:val="en-US"/>
        </w:rPr>
      </w:pPr>
      <w:r w:rsidRPr="0067747E">
        <w:rPr>
          <w:rFonts w:ascii="Book Antiqua" w:hAnsi="Book Antiqua"/>
          <w:b/>
          <w:bCs/>
          <w:lang w:val="en-US"/>
        </w:rPr>
        <w:t>Conclusion</w:t>
      </w:r>
    </w:p>
    <w:p w14:paraId="524B9AFE" w14:textId="6989D228" w:rsidR="0067747E" w:rsidRPr="0067747E" w:rsidRDefault="0067747E" w:rsidP="0067747E">
      <w:pPr>
        <w:jc w:val="both"/>
        <w:rPr>
          <w:rFonts w:ascii="Book Antiqua" w:hAnsi="Book Antiqua"/>
          <w:lang w:val="en-US"/>
        </w:rPr>
      </w:pPr>
      <w:r>
        <w:rPr>
          <w:rFonts w:ascii="Book Antiqua" w:hAnsi="Book Antiqua"/>
          <w:lang w:val="en-US"/>
        </w:rPr>
        <w:tab/>
      </w:r>
      <w:r w:rsidRPr="0067747E">
        <w:rPr>
          <w:rFonts w:ascii="Book Antiqua" w:hAnsi="Book Antiqua"/>
          <w:lang w:val="en-US"/>
        </w:rPr>
        <w:t xml:space="preserve">Based on the analysis of PT Charoen Pokphand Indonesia </w:t>
      </w:r>
      <w:proofErr w:type="spellStart"/>
      <w:r w:rsidRPr="0067747E">
        <w:rPr>
          <w:rFonts w:ascii="Book Antiqua" w:hAnsi="Book Antiqua"/>
          <w:lang w:val="en-US"/>
        </w:rPr>
        <w:t>Tbk's</w:t>
      </w:r>
      <w:proofErr w:type="spellEnd"/>
      <w:r w:rsidRPr="0067747E">
        <w:rPr>
          <w:rFonts w:ascii="Book Antiqua" w:hAnsi="Book Antiqua"/>
          <w:lang w:val="en-US"/>
        </w:rPr>
        <w:t xml:space="preserve"> financial performance over the period 2015–2024 using liquidity ratios, solvency ratios, and DuPont analysis, it can be concluded that the company's financial condition is generally good and stable, although it shows a declining trend in some profitability aspects. From a liquidity perspective, the company has an excellent ability to meet its short-term obligations, as reflected by an average current ratio of 236.11% and a quick ratio that is also above industry standards. This indicates that the current assets held are more than sufficient to cover all current liabilities, although there was a slight decrease in the 2021–2023 period due to increased short-term liabilities and a decline in cash balances.</w:t>
      </w:r>
    </w:p>
    <w:p w14:paraId="3985D106" w14:textId="67502AC3" w:rsidR="0067747E" w:rsidRPr="0067747E" w:rsidRDefault="0067747E" w:rsidP="0067747E">
      <w:pPr>
        <w:jc w:val="both"/>
        <w:rPr>
          <w:rFonts w:ascii="Book Antiqua" w:hAnsi="Book Antiqua"/>
          <w:lang w:val="en-US"/>
        </w:rPr>
      </w:pPr>
      <w:r>
        <w:rPr>
          <w:rFonts w:ascii="Book Antiqua" w:hAnsi="Book Antiqua"/>
          <w:lang w:val="en-US"/>
        </w:rPr>
        <w:tab/>
      </w:r>
      <w:r w:rsidRPr="0067747E">
        <w:rPr>
          <w:rFonts w:ascii="Book Antiqua" w:hAnsi="Book Antiqua"/>
          <w:lang w:val="en-US"/>
        </w:rPr>
        <w:t xml:space="preserve">From a solvency perspective, the calculation of the debt-to-asset ratio (DAR) yields an average value of 29.62%, which is below the industry standard of 35%. This indicates that most of the company's assets are financed by equity, not debt, suggesting a healthy capital structure. Meanwhile, the debt-to-equity ratio (DER) shows a relatively high dependence on debt, but it is still considered reasonable for large companies operating in the manufacturing and agribusiness sectors. This </w:t>
      </w:r>
      <w:r w:rsidRPr="0067747E">
        <w:rPr>
          <w:rFonts w:ascii="Book Antiqua" w:hAnsi="Book Antiqua"/>
          <w:lang w:val="en-US"/>
        </w:rPr>
        <w:lastRenderedPageBreak/>
        <w:t xml:space="preserve">condition indicates that PT Charoen Pokphand Indonesia </w:t>
      </w:r>
      <w:proofErr w:type="spellStart"/>
      <w:r w:rsidRPr="0067747E">
        <w:rPr>
          <w:rFonts w:ascii="Book Antiqua" w:hAnsi="Book Antiqua"/>
          <w:lang w:val="en-US"/>
        </w:rPr>
        <w:t>Tbk</w:t>
      </w:r>
      <w:proofErr w:type="spellEnd"/>
      <w:r w:rsidRPr="0067747E">
        <w:rPr>
          <w:rFonts w:ascii="Book Antiqua" w:hAnsi="Book Antiqua"/>
          <w:lang w:val="en-US"/>
        </w:rPr>
        <w:t xml:space="preserve"> is able to maintain a good balance between the use of its own capital and external funding.</w:t>
      </w:r>
    </w:p>
    <w:p w14:paraId="5DB0A959" w14:textId="098559B4" w:rsidR="0067747E" w:rsidRPr="0067747E" w:rsidRDefault="0067747E" w:rsidP="0067747E">
      <w:pPr>
        <w:jc w:val="both"/>
        <w:rPr>
          <w:rFonts w:ascii="Book Antiqua" w:hAnsi="Book Antiqua"/>
          <w:lang w:val="en-US"/>
        </w:rPr>
      </w:pPr>
      <w:r>
        <w:rPr>
          <w:rFonts w:ascii="Book Antiqua" w:hAnsi="Book Antiqua"/>
          <w:lang w:val="en-US"/>
        </w:rPr>
        <w:tab/>
      </w:r>
      <w:r w:rsidRPr="0067747E">
        <w:rPr>
          <w:rFonts w:ascii="Book Antiqua" w:hAnsi="Book Antiqua"/>
          <w:lang w:val="en-US"/>
        </w:rPr>
        <w:t>Meanwhile, the results of the Dupont analysis show that the company's profitability tended to decline during the research period. The return on assets (ROA) decreased from 16.46% in 2018 to 7.35% in 2022, with an average of 11.78%, while the return on equity (ROE) also decreased from 23.47% to 11.13%, with an average of 16.58%. The decline in both ratios reflects the company's decreasing effectiveness in utilizing its assets and equity to generate net profit. Nevertheless, the average ROA and ROE values are still at a good level for large companies, indicating that the company remains capable of generating adequate profits for shareholders.</w:t>
      </w:r>
    </w:p>
    <w:p w14:paraId="56C42DA7" w14:textId="3F184FE9" w:rsidR="0067747E" w:rsidRPr="000A1F91" w:rsidRDefault="0067747E" w:rsidP="000A1F91">
      <w:pPr>
        <w:jc w:val="both"/>
        <w:rPr>
          <w:rFonts w:ascii="Book Antiqua" w:hAnsi="Book Antiqua"/>
          <w:lang w:val="en-US"/>
        </w:rPr>
      </w:pPr>
      <w:r>
        <w:rPr>
          <w:rFonts w:ascii="Book Antiqua" w:hAnsi="Book Antiqua"/>
          <w:lang w:val="en-US"/>
        </w:rPr>
        <w:tab/>
      </w:r>
      <w:r w:rsidRPr="0067747E">
        <w:rPr>
          <w:rFonts w:ascii="Book Antiqua" w:hAnsi="Book Antiqua"/>
          <w:lang w:val="en-US"/>
        </w:rPr>
        <w:t xml:space="preserve">Overall, the results of this study indicate that PT Charoen Pokphand Indonesia </w:t>
      </w:r>
      <w:proofErr w:type="spellStart"/>
      <w:r w:rsidRPr="0067747E">
        <w:rPr>
          <w:rFonts w:ascii="Book Antiqua" w:hAnsi="Book Antiqua"/>
          <w:lang w:val="en-US"/>
        </w:rPr>
        <w:t>Tbk</w:t>
      </w:r>
      <w:proofErr w:type="spellEnd"/>
      <w:r w:rsidRPr="0067747E">
        <w:rPr>
          <w:rFonts w:ascii="Book Antiqua" w:hAnsi="Book Antiqua"/>
          <w:lang w:val="en-US"/>
        </w:rPr>
        <w:t xml:space="preserve"> has a strong financial structure, a high level of liquidity, and well-maintained solvency and profitability. However, the company needs to improve operational efficiency, control production costs, and maximize asset utilization in order for profitability performance to increase again and provide greater added value for shareholders in the future.</w:t>
      </w:r>
      <w:r w:rsidR="000A1F91" w:rsidRPr="000A1F91">
        <w:rPr>
          <w:rFonts w:ascii="Book Antiqua" w:hAnsi="Book Antiqua"/>
          <w:lang w:val="en-US"/>
        </w:rPr>
        <w:tab/>
      </w:r>
    </w:p>
    <w:p w14:paraId="4EDAEE81" w14:textId="77777777" w:rsidR="00145027" w:rsidRPr="000A1F91" w:rsidRDefault="00145027" w:rsidP="000A1F91">
      <w:pPr>
        <w:jc w:val="both"/>
        <w:rPr>
          <w:rFonts w:ascii="Book Antiqua" w:hAnsi="Book Antiqua"/>
          <w:lang w:val="en-US"/>
        </w:rPr>
      </w:pPr>
    </w:p>
    <w:p w14:paraId="599AE6D2" w14:textId="538D049A" w:rsidR="00145027" w:rsidRDefault="0067747E" w:rsidP="000A1F91">
      <w:pPr>
        <w:jc w:val="both"/>
        <w:rPr>
          <w:rFonts w:ascii="Book Antiqua" w:hAnsi="Book Antiqua"/>
          <w:b/>
          <w:bCs/>
          <w:lang w:val="en-US"/>
        </w:rPr>
      </w:pPr>
      <w:r>
        <w:rPr>
          <w:rFonts w:ascii="Book Antiqua" w:hAnsi="Book Antiqua"/>
          <w:b/>
          <w:bCs/>
          <w:lang w:val="en-US"/>
        </w:rPr>
        <w:t>References</w:t>
      </w:r>
    </w:p>
    <w:p w14:paraId="29DB6B6F" w14:textId="77777777" w:rsidR="0067747E" w:rsidRDefault="0067747E" w:rsidP="0067747E">
      <w:pPr>
        <w:ind w:left="720" w:hanging="720"/>
        <w:jc w:val="both"/>
        <w:rPr>
          <w:rFonts w:ascii="Book Antiqua" w:hAnsi="Book Antiqua"/>
          <w:lang w:val="en-ID"/>
        </w:rPr>
      </w:pPr>
      <w:r w:rsidRPr="0067747E">
        <w:rPr>
          <w:rFonts w:ascii="Book Antiqua" w:hAnsi="Book Antiqua"/>
          <w:lang w:val="en-ID"/>
        </w:rPr>
        <w:t xml:space="preserve">Abdul Malik, Imam </w:t>
      </w:r>
      <w:proofErr w:type="spellStart"/>
      <w:r w:rsidRPr="0067747E">
        <w:rPr>
          <w:rFonts w:ascii="Book Antiqua" w:hAnsi="Book Antiqua"/>
          <w:lang w:val="en-ID"/>
        </w:rPr>
        <w:t>Baidlowi</w:t>
      </w:r>
      <w:proofErr w:type="spellEnd"/>
      <w:r w:rsidRPr="0067747E">
        <w:rPr>
          <w:rFonts w:ascii="Book Antiqua" w:hAnsi="Book Antiqua"/>
          <w:lang w:val="en-ID"/>
        </w:rPr>
        <w:t xml:space="preserve">, &amp; </w:t>
      </w:r>
      <w:proofErr w:type="spellStart"/>
      <w:r w:rsidRPr="0067747E">
        <w:rPr>
          <w:rFonts w:ascii="Book Antiqua" w:hAnsi="Book Antiqua"/>
          <w:lang w:val="en-ID"/>
        </w:rPr>
        <w:t>Yuliasnita</w:t>
      </w:r>
      <w:proofErr w:type="spellEnd"/>
      <w:r w:rsidRPr="0067747E">
        <w:rPr>
          <w:rFonts w:ascii="Book Antiqua" w:hAnsi="Book Antiqua"/>
          <w:lang w:val="en-ID"/>
        </w:rPr>
        <w:t xml:space="preserve"> </w:t>
      </w:r>
      <w:proofErr w:type="spellStart"/>
      <w:r w:rsidRPr="0067747E">
        <w:rPr>
          <w:rFonts w:ascii="Book Antiqua" w:hAnsi="Book Antiqua"/>
          <w:lang w:val="en-ID"/>
        </w:rPr>
        <w:t>Verlandes</w:t>
      </w:r>
      <w:proofErr w:type="spellEnd"/>
      <w:r w:rsidRPr="0067747E">
        <w:rPr>
          <w:rFonts w:ascii="Book Antiqua" w:hAnsi="Book Antiqua"/>
          <w:lang w:val="en-ID"/>
        </w:rPr>
        <w:t xml:space="preserve">. (2024). </w:t>
      </w:r>
      <w:proofErr w:type="spellStart"/>
      <w:r w:rsidRPr="0067747E">
        <w:rPr>
          <w:rFonts w:ascii="Book Antiqua" w:hAnsi="Book Antiqua"/>
          <w:lang w:val="en-ID"/>
        </w:rPr>
        <w:t>Analisis</w:t>
      </w:r>
      <w:proofErr w:type="spellEnd"/>
      <w:r w:rsidRPr="0067747E">
        <w:rPr>
          <w:rFonts w:ascii="Book Antiqua" w:hAnsi="Book Antiqua"/>
          <w:lang w:val="en-ID"/>
        </w:rPr>
        <w:t xml:space="preserve"> </w:t>
      </w:r>
      <w:proofErr w:type="spellStart"/>
      <w:r w:rsidRPr="0067747E">
        <w:rPr>
          <w:rFonts w:ascii="Book Antiqua" w:hAnsi="Book Antiqua"/>
          <w:lang w:val="en-ID"/>
        </w:rPr>
        <w:t>Kinerja</w:t>
      </w:r>
      <w:proofErr w:type="spellEnd"/>
      <w:r w:rsidRPr="0067747E">
        <w:rPr>
          <w:rFonts w:ascii="Book Antiqua" w:hAnsi="Book Antiqua"/>
          <w:lang w:val="en-ID"/>
        </w:rPr>
        <w:t xml:space="preserve"> </w:t>
      </w:r>
      <w:proofErr w:type="spellStart"/>
      <w:r w:rsidRPr="0067747E">
        <w:rPr>
          <w:rFonts w:ascii="Book Antiqua" w:hAnsi="Book Antiqua"/>
          <w:lang w:val="en-ID"/>
        </w:rPr>
        <w:t>Keuangan</w:t>
      </w:r>
      <w:proofErr w:type="spellEnd"/>
      <w:r w:rsidRPr="0067747E">
        <w:rPr>
          <w:rFonts w:ascii="Book Antiqua" w:hAnsi="Book Antiqua"/>
          <w:lang w:val="en-ID"/>
        </w:rPr>
        <w:t xml:space="preserve"> </w:t>
      </w:r>
      <w:proofErr w:type="spellStart"/>
      <w:r w:rsidRPr="0067747E">
        <w:rPr>
          <w:rFonts w:ascii="Book Antiqua" w:hAnsi="Book Antiqua"/>
          <w:lang w:val="en-ID"/>
        </w:rPr>
        <w:t>Menggunakan</w:t>
      </w:r>
      <w:proofErr w:type="spellEnd"/>
      <w:r w:rsidRPr="0067747E">
        <w:rPr>
          <w:rFonts w:ascii="Book Antiqua" w:hAnsi="Book Antiqua"/>
          <w:lang w:val="en-ID"/>
        </w:rPr>
        <w:t xml:space="preserve"> </w:t>
      </w:r>
      <w:proofErr w:type="spellStart"/>
      <w:r w:rsidRPr="0067747E">
        <w:rPr>
          <w:rFonts w:ascii="Book Antiqua" w:hAnsi="Book Antiqua"/>
          <w:lang w:val="en-ID"/>
        </w:rPr>
        <w:t>Rasio</w:t>
      </w:r>
      <w:proofErr w:type="spellEnd"/>
      <w:r w:rsidRPr="0067747E">
        <w:rPr>
          <w:rFonts w:ascii="Book Antiqua" w:hAnsi="Book Antiqua"/>
          <w:lang w:val="en-ID"/>
        </w:rPr>
        <w:t xml:space="preserve"> </w:t>
      </w:r>
      <w:proofErr w:type="spellStart"/>
      <w:r w:rsidRPr="0067747E">
        <w:rPr>
          <w:rFonts w:ascii="Book Antiqua" w:hAnsi="Book Antiqua"/>
          <w:lang w:val="en-ID"/>
        </w:rPr>
        <w:t>Likuiditas</w:t>
      </w:r>
      <w:proofErr w:type="spellEnd"/>
      <w:r w:rsidRPr="0067747E">
        <w:rPr>
          <w:rFonts w:ascii="Book Antiqua" w:hAnsi="Book Antiqua"/>
          <w:lang w:val="en-ID"/>
        </w:rPr>
        <w:t xml:space="preserve">, </w:t>
      </w:r>
      <w:proofErr w:type="spellStart"/>
      <w:r w:rsidRPr="0067747E">
        <w:rPr>
          <w:rFonts w:ascii="Book Antiqua" w:hAnsi="Book Antiqua"/>
          <w:lang w:val="en-ID"/>
        </w:rPr>
        <w:t>Rasio</w:t>
      </w:r>
      <w:proofErr w:type="spellEnd"/>
      <w:r w:rsidRPr="0067747E">
        <w:rPr>
          <w:rFonts w:ascii="Book Antiqua" w:hAnsi="Book Antiqua"/>
          <w:lang w:val="en-ID"/>
        </w:rPr>
        <w:t xml:space="preserve"> </w:t>
      </w:r>
      <w:proofErr w:type="spellStart"/>
      <w:r w:rsidRPr="0067747E">
        <w:rPr>
          <w:rFonts w:ascii="Book Antiqua" w:hAnsi="Book Antiqua"/>
          <w:lang w:val="en-ID"/>
        </w:rPr>
        <w:t>Solvabilitas</w:t>
      </w:r>
      <w:proofErr w:type="spellEnd"/>
      <w:r w:rsidRPr="0067747E">
        <w:rPr>
          <w:rFonts w:ascii="Book Antiqua" w:hAnsi="Book Antiqua"/>
          <w:lang w:val="en-ID"/>
        </w:rPr>
        <w:t xml:space="preserve">, dan </w:t>
      </w:r>
      <w:proofErr w:type="spellStart"/>
      <w:r w:rsidRPr="0067747E">
        <w:rPr>
          <w:rFonts w:ascii="Book Antiqua" w:hAnsi="Book Antiqua"/>
          <w:lang w:val="en-ID"/>
        </w:rPr>
        <w:t>Rasio</w:t>
      </w:r>
      <w:proofErr w:type="spellEnd"/>
      <w:r w:rsidRPr="0067747E">
        <w:rPr>
          <w:rFonts w:ascii="Book Antiqua" w:hAnsi="Book Antiqua"/>
          <w:lang w:val="en-ID"/>
        </w:rPr>
        <w:t xml:space="preserve"> </w:t>
      </w:r>
      <w:proofErr w:type="spellStart"/>
      <w:r w:rsidRPr="0067747E">
        <w:rPr>
          <w:rFonts w:ascii="Book Antiqua" w:hAnsi="Book Antiqua"/>
          <w:lang w:val="en-ID"/>
        </w:rPr>
        <w:t>Profitabilitas</w:t>
      </w:r>
      <w:proofErr w:type="spellEnd"/>
      <w:r w:rsidRPr="0067747E">
        <w:rPr>
          <w:rFonts w:ascii="Book Antiqua" w:hAnsi="Book Antiqua"/>
          <w:lang w:val="en-ID"/>
        </w:rPr>
        <w:t xml:space="preserve"> pada PT </w:t>
      </w:r>
      <w:proofErr w:type="spellStart"/>
      <w:r w:rsidRPr="0067747E">
        <w:rPr>
          <w:rFonts w:ascii="Book Antiqua" w:hAnsi="Book Antiqua"/>
          <w:lang w:val="en-ID"/>
        </w:rPr>
        <w:t>Pabrik</w:t>
      </w:r>
      <w:proofErr w:type="spellEnd"/>
      <w:r w:rsidRPr="0067747E">
        <w:rPr>
          <w:rFonts w:ascii="Book Antiqua" w:hAnsi="Book Antiqua"/>
          <w:lang w:val="en-ID"/>
        </w:rPr>
        <w:t xml:space="preserve"> </w:t>
      </w:r>
      <w:proofErr w:type="spellStart"/>
      <w:r w:rsidRPr="0067747E">
        <w:rPr>
          <w:rFonts w:ascii="Book Antiqua" w:hAnsi="Book Antiqua"/>
          <w:lang w:val="en-ID"/>
        </w:rPr>
        <w:t>Kertas</w:t>
      </w:r>
      <w:proofErr w:type="spellEnd"/>
      <w:r w:rsidRPr="0067747E">
        <w:rPr>
          <w:rFonts w:ascii="Book Antiqua" w:hAnsi="Book Antiqua"/>
          <w:lang w:val="en-ID"/>
        </w:rPr>
        <w:t xml:space="preserve"> Tjiwi Kimia </w:t>
      </w:r>
      <w:proofErr w:type="spellStart"/>
      <w:r w:rsidRPr="0067747E">
        <w:rPr>
          <w:rFonts w:ascii="Book Antiqua" w:hAnsi="Book Antiqua"/>
          <w:lang w:val="en-ID"/>
        </w:rPr>
        <w:t>Tbk</w:t>
      </w:r>
      <w:proofErr w:type="spellEnd"/>
      <w:r w:rsidRPr="0067747E">
        <w:rPr>
          <w:rFonts w:ascii="Book Antiqua" w:hAnsi="Book Antiqua"/>
          <w:lang w:val="en-ID"/>
        </w:rPr>
        <w:t xml:space="preserve"> </w:t>
      </w:r>
      <w:proofErr w:type="spellStart"/>
      <w:r w:rsidRPr="0067747E">
        <w:rPr>
          <w:rFonts w:ascii="Book Antiqua" w:hAnsi="Book Antiqua"/>
          <w:lang w:val="en-ID"/>
        </w:rPr>
        <w:t>Periode</w:t>
      </w:r>
      <w:proofErr w:type="spellEnd"/>
      <w:r w:rsidRPr="0067747E">
        <w:rPr>
          <w:rFonts w:ascii="Book Antiqua" w:hAnsi="Book Antiqua"/>
          <w:lang w:val="en-ID"/>
        </w:rPr>
        <w:t xml:space="preserve"> 2021–2023.</w:t>
      </w:r>
    </w:p>
    <w:p w14:paraId="0B14D045" w14:textId="77777777" w:rsidR="0067747E" w:rsidRDefault="0067747E" w:rsidP="0067747E">
      <w:pPr>
        <w:ind w:left="720" w:hanging="720"/>
        <w:jc w:val="both"/>
        <w:rPr>
          <w:rFonts w:ascii="Book Antiqua" w:hAnsi="Book Antiqua"/>
          <w:lang w:val="en-ID"/>
        </w:rPr>
      </w:pPr>
      <w:proofErr w:type="spellStart"/>
      <w:r w:rsidRPr="0067747E">
        <w:rPr>
          <w:rFonts w:ascii="Book Antiqua" w:hAnsi="Book Antiqua"/>
          <w:lang w:val="en-ID"/>
        </w:rPr>
        <w:t>Harahap</w:t>
      </w:r>
      <w:proofErr w:type="spellEnd"/>
      <w:r w:rsidRPr="0067747E">
        <w:rPr>
          <w:rFonts w:ascii="Book Antiqua" w:hAnsi="Book Antiqua"/>
          <w:lang w:val="en-ID"/>
        </w:rPr>
        <w:t xml:space="preserve">, S. S. (2015). </w:t>
      </w:r>
      <w:proofErr w:type="spellStart"/>
      <w:r w:rsidRPr="0067747E">
        <w:rPr>
          <w:rFonts w:ascii="Book Antiqua" w:hAnsi="Book Antiqua"/>
          <w:lang w:val="en-ID"/>
        </w:rPr>
        <w:t>Analisis</w:t>
      </w:r>
      <w:proofErr w:type="spellEnd"/>
      <w:r w:rsidRPr="0067747E">
        <w:rPr>
          <w:rFonts w:ascii="Book Antiqua" w:hAnsi="Book Antiqua"/>
          <w:lang w:val="en-ID"/>
        </w:rPr>
        <w:t xml:space="preserve"> </w:t>
      </w:r>
      <w:proofErr w:type="spellStart"/>
      <w:r w:rsidRPr="0067747E">
        <w:rPr>
          <w:rFonts w:ascii="Book Antiqua" w:hAnsi="Book Antiqua"/>
          <w:lang w:val="en-ID"/>
        </w:rPr>
        <w:t>Kritis</w:t>
      </w:r>
      <w:proofErr w:type="spellEnd"/>
      <w:r w:rsidRPr="0067747E">
        <w:rPr>
          <w:rFonts w:ascii="Book Antiqua" w:hAnsi="Book Antiqua"/>
          <w:lang w:val="en-ID"/>
        </w:rPr>
        <w:t xml:space="preserve"> </w:t>
      </w:r>
      <w:proofErr w:type="spellStart"/>
      <w:r w:rsidRPr="0067747E">
        <w:rPr>
          <w:rFonts w:ascii="Book Antiqua" w:hAnsi="Book Antiqua"/>
          <w:lang w:val="en-ID"/>
        </w:rPr>
        <w:t>atas</w:t>
      </w:r>
      <w:proofErr w:type="spellEnd"/>
      <w:r w:rsidRPr="0067747E">
        <w:rPr>
          <w:rFonts w:ascii="Book Antiqua" w:hAnsi="Book Antiqua"/>
          <w:lang w:val="en-ID"/>
        </w:rPr>
        <w:t xml:space="preserve"> </w:t>
      </w:r>
      <w:proofErr w:type="spellStart"/>
      <w:r w:rsidRPr="0067747E">
        <w:rPr>
          <w:rFonts w:ascii="Book Antiqua" w:hAnsi="Book Antiqua"/>
          <w:lang w:val="en-ID"/>
        </w:rPr>
        <w:t>Laporan</w:t>
      </w:r>
      <w:proofErr w:type="spellEnd"/>
      <w:r w:rsidRPr="0067747E">
        <w:rPr>
          <w:rFonts w:ascii="Book Antiqua" w:hAnsi="Book Antiqua"/>
          <w:lang w:val="en-ID"/>
        </w:rPr>
        <w:t xml:space="preserve"> Keuangan. Jakarta: Raja </w:t>
      </w:r>
      <w:proofErr w:type="spellStart"/>
      <w:r w:rsidRPr="0067747E">
        <w:rPr>
          <w:rFonts w:ascii="Book Antiqua" w:hAnsi="Book Antiqua"/>
          <w:lang w:val="en-ID"/>
        </w:rPr>
        <w:t>Grafindo</w:t>
      </w:r>
      <w:proofErr w:type="spellEnd"/>
      <w:r w:rsidRPr="0067747E">
        <w:rPr>
          <w:rFonts w:ascii="Book Antiqua" w:hAnsi="Book Antiqua"/>
          <w:lang w:val="en-ID"/>
        </w:rPr>
        <w:t xml:space="preserve"> </w:t>
      </w:r>
      <w:proofErr w:type="spellStart"/>
      <w:r w:rsidRPr="0067747E">
        <w:rPr>
          <w:rFonts w:ascii="Book Antiqua" w:hAnsi="Book Antiqua"/>
          <w:lang w:val="en-ID"/>
        </w:rPr>
        <w:t>Persada</w:t>
      </w:r>
      <w:proofErr w:type="spellEnd"/>
      <w:r w:rsidRPr="0067747E">
        <w:rPr>
          <w:rFonts w:ascii="Book Antiqua" w:hAnsi="Book Antiqua"/>
          <w:lang w:val="en-ID"/>
        </w:rPr>
        <w:t>.</w:t>
      </w:r>
    </w:p>
    <w:p w14:paraId="416D5914" w14:textId="77777777" w:rsidR="0067747E" w:rsidRDefault="0067747E" w:rsidP="0067747E">
      <w:pPr>
        <w:ind w:left="720" w:hanging="720"/>
        <w:jc w:val="both"/>
        <w:rPr>
          <w:rFonts w:ascii="Book Antiqua" w:hAnsi="Book Antiqua"/>
          <w:lang w:val="en-ID"/>
        </w:rPr>
      </w:pPr>
      <w:r w:rsidRPr="0067747E">
        <w:rPr>
          <w:rFonts w:ascii="Book Antiqua" w:hAnsi="Book Antiqua"/>
          <w:lang w:val="en-ID"/>
        </w:rPr>
        <w:t xml:space="preserve">Hery. (2020). </w:t>
      </w:r>
      <w:proofErr w:type="spellStart"/>
      <w:r w:rsidRPr="0067747E">
        <w:rPr>
          <w:rFonts w:ascii="Book Antiqua" w:hAnsi="Book Antiqua"/>
          <w:lang w:val="en-ID"/>
        </w:rPr>
        <w:t>Analisis</w:t>
      </w:r>
      <w:proofErr w:type="spellEnd"/>
      <w:r w:rsidRPr="0067747E">
        <w:rPr>
          <w:rFonts w:ascii="Book Antiqua" w:hAnsi="Book Antiqua"/>
          <w:lang w:val="en-ID"/>
        </w:rPr>
        <w:t xml:space="preserve"> </w:t>
      </w:r>
      <w:proofErr w:type="spellStart"/>
      <w:r w:rsidRPr="0067747E">
        <w:rPr>
          <w:rFonts w:ascii="Book Antiqua" w:hAnsi="Book Antiqua"/>
          <w:lang w:val="en-ID"/>
        </w:rPr>
        <w:t>Laporan</w:t>
      </w:r>
      <w:proofErr w:type="spellEnd"/>
      <w:r w:rsidRPr="0067747E">
        <w:rPr>
          <w:rFonts w:ascii="Book Antiqua" w:hAnsi="Book Antiqua"/>
          <w:lang w:val="en-ID"/>
        </w:rPr>
        <w:t xml:space="preserve"> </w:t>
      </w:r>
      <w:proofErr w:type="spellStart"/>
      <w:r w:rsidRPr="0067747E">
        <w:rPr>
          <w:rFonts w:ascii="Book Antiqua" w:hAnsi="Book Antiqua"/>
          <w:lang w:val="en-ID"/>
        </w:rPr>
        <w:t>Keuangan</w:t>
      </w:r>
      <w:proofErr w:type="spellEnd"/>
      <w:r w:rsidRPr="0067747E">
        <w:rPr>
          <w:rFonts w:ascii="Book Antiqua" w:hAnsi="Book Antiqua"/>
          <w:lang w:val="en-ID"/>
        </w:rPr>
        <w:t xml:space="preserve">: </w:t>
      </w:r>
      <w:proofErr w:type="spellStart"/>
      <w:r w:rsidRPr="0067747E">
        <w:rPr>
          <w:rFonts w:ascii="Book Antiqua" w:hAnsi="Book Antiqua"/>
          <w:lang w:val="en-ID"/>
        </w:rPr>
        <w:t>Pendekatan</w:t>
      </w:r>
      <w:proofErr w:type="spellEnd"/>
      <w:r w:rsidRPr="0067747E">
        <w:rPr>
          <w:rFonts w:ascii="Book Antiqua" w:hAnsi="Book Antiqua"/>
          <w:lang w:val="en-ID"/>
        </w:rPr>
        <w:t xml:space="preserve"> </w:t>
      </w:r>
      <w:proofErr w:type="spellStart"/>
      <w:r w:rsidRPr="0067747E">
        <w:rPr>
          <w:rFonts w:ascii="Book Antiqua" w:hAnsi="Book Antiqua"/>
          <w:lang w:val="en-ID"/>
        </w:rPr>
        <w:t>Rasio</w:t>
      </w:r>
      <w:proofErr w:type="spellEnd"/>
      <w:r w:rsidRPr="0067747E">
        <w:rPr>
          <w:rFonts w:ascii="Book Antiqua" w:hAnsi="Book Antiqua"/>
          <w:lang w:val="en-ID"/>
        </w:rPr>
        <w:t xml:space="preserve"> dan </w:t>
      </w:r>
      <w:proofErr w:type="spellStart"/>
      <w:r w:rsidRPr="0067747E">
        <w:rPr>
          <w:rFonts w:ascii="Book Antiqua" w:hAnsi="Book Antiqua"/>
          <w:lang w:val="en-ID"/>
        </w:rPr>
        <w:t>Sistem</w:t>
      </w:r>
      <w:proofErr w:type="spellEnd"/>
      <w:r w:rsidRPr="0067747E">
        <w:rPr>
          <w:rFonts w:ascii="Book Antiqua" w:hAnsi="Book Antiqua"/>
          <w:lang w:val="en-ID"/>
        </w:rPr>
        <w:t xml:space="preserve"> Du Pont. Jakarta: </w:t>
      </w:r>
      <w:proofErr w:type="spellStart"/>
      <w:r w:rsidRPr="0067747E">
        <w:rPr>
          <w:rFonts w:ascii="Book Antiqua" w:hAnsi="Book Antiqua"/>
          <w:lang w:val="en-ID"/>
        </w:rPr>
        <w:t>Grasindo</w:t>
      </w:r>
      <w:proofErr w:type="spellEnd"/>
      <w:r w:rsidRPr="0067747E">
        <w:rPr>
          <w:rFonts w:ascii="Book Antiqua" w:hAnsi="Book Antiqua"/>
          <w:lang w:val="en-ID"/>
        </w:rPr>
        <w:t>.</w:t>
      </w:r>
    </w:p>
    <w:p w14:paraId="4273F858" w14:textId="77777777" w:rsidR="0067747E" w:rsidRDefault="0067747E" w:rsidP="0067747E">
      <w:pPr>
        <w:ind w:left="720" w:hanging="720"/>
        <w:jc w:val="both"/>
        <w:rPr>
          <w:rFonts w:ascii="Book Antiqua" w:hAnsi="Book Antiqua"/>
          <w:lang w:val="en-ID"/>
        </w:rPr>
      </w:pPr>
      <w:r w:rsidRPr="0067747E">
        <w:rPr>
          <w:rFonts w:ascii="Book Antiqua" w:hAnsi="Book Antiqua"/>
          <w:lang w:val="en-ID"/>
        </w:rPr>
        <w:t xml:space="preserve">Kasmir. (2018, 2019). </w:t>
      </w:r>
      <w:proofErr w:type="spellStart"/>
      <w:r w:rsidRPr="0067747E">
        <w:rPr>
          <w:rFonts w:ascii="Book Antiqua" w:hAnsi="Book Antiqua"/>
          <w:lang w:val="en-ID"/>
        </w:rPr>
        <w:t>Analisis</w:t>
      </w:r>
      <w:proofErr w:type="spellEnd"/>
      <w:r w:rsidRPr="0067747E">
        <w:rPr>
          <w:rFonts w:ascii="Book Antiqua" w:hAnsi="Book Antiqua"/>
          <w:lang w:val="en-ID"/>
        </w:rPr>
        <w:t xml:space="preserve"> </w:t>
      </w:r>
      <w:proofErr w:type="spellStart"/>
      <w:r w:rsidRPr="0067747E">
        <w:rPr>
          <w:rFonts w:ascii="Book Antiqua" w:hAnsi="Book Antiqua"/>
          <w:lang w:val="en-ID"/>
        </w:rPr>
        <w:t>Laporan</w:t>
      </w:r>
      <w:proofErr w:type="spellEnd"/>
      <w:r w:rsidRPr="0067747E">
        <w:rPr>
          <w:rFonts w:ascii="Book Antiqua" w:hAnsi="Book Antiqua"/>
          <w:lang w:val="en-ID"/>
        </w:rPr>
        <w:t xml:space="preserve"> </w:t>
      </w:r>
      <w:proofErr w:type="spellStart"/>
      <w:r w:rsidRPr="0067747E">
        <w:rPr>
          <w:rFonts w:ascii="Book Antiqua" w:hAnsi="Book Antiqua"/>
          <w:lang w:val="en-ID"/>
        </w:rPr>
        <w:t>Keuangan</w:t>
      </w:r>
      <w:proofErr w:type="spellEnd"/>
      <w:r w:rsidRPr="0067747E">
        <w:rPr>
          <w:rFonts w:ascii="Book Antiqua" w:hAnsi="Book Antiqua"/>
          <w:lang w:val="en-ID"/>
        </w:rPr>
        <w:t xml:space="preserve">. Jakarta: </w:t>
      </w:r>
      <w:proofErr w:type="spellStart"/>
      <w:r w:rsidRPr="0067747E">
        <w:rPr>
          <w:rFonts w:ascii="Book Antiqua" w:hAnsi="Book Antiqua"/>
          <w:lang w:val="en-ID"/>
        </w:rPr>
        <w:t>Rajawali</w:t>
      </w:r>
      <w:proofErr w:type="spellEnd"/>
      <w:r w:rsidRPr="0067747E">
        <w:rPr>
          <w:rFonts w:ascii="Book Antiqua" w:hAnsi="Book Antiqua"/>
          <w:lang w:val="en-ID"/>
        </w:rPr>
        <w:t xml:space="preserve"> Pers.</w:t>
      </w:r>
    </w:p>
    <w:p w14:paraId="37ED74B0" w14:textId="4E8751AE" w:rsidR="0067747E" w:rsidRDefault="0067747E" w:rsidP="0067747E">
      <w:pPr>
        <w:ind w:left="720" w:hanging="720"/>
        <w:jc w:val="both"/>
        <w:rPr>
          <w:rFonts w:ascii="Book Antiqua" w:hAnsi="Book Antiqua"/>
          <w:lang w:val="en-ID"/>
        </w:rPr>
      </w:pPr>
      <w:proofErr w:type="spellStart"/>
      <w:r w:rsidRPr="0067747E">
        <w:rPr>
          <w:rFonts w:ascii="Book Antiqua" w:hAnsi="Book Antiqua"/>
          <w:lang w:val="en-ID"/>
        </w:rPr>
        <w:t>Laporan</w:t>
      </w:r>
      <w:proofErr w:type="spellEnd"/>
      <w:r w:rsidRPr="0067747E">
        <w:rPr>
          <w:rFonts w:ascii="Book Antiqua" w:hAnsi="Book Antiqua"/>
          <w:lang w:val="en-ID"/>
        </w:rPr>
        <w:t xml:space="preserve"> </w:t>
      </w:r>
      <w:proofErr w:type="spellStart"/>
      <w:r w:rsidRPr="0067747E">
        <w:rPr>
          <w:rFonts w:ascii="Book Antiqua" w:hAnsi="Book Antiqua"/>
          <w:lang w:val="en-ID"/>
        </w:rPr>
        <w:t>Keuangan</w:t>
      </w:r>
      <w:proofErr w:type="spellEnd"/>
      <w:r w:rsidRPr="0067747E">
        <w:rPr>
          <w:rFonts w:ascii="Book Antiqua" w:hAnsi="Book Antiqua"/>
          <w:lang w:val="en-ID"/>
        </w:rPr>
        <w:t xml:space="preserve"> PT Charoen Pokphand Indonesia </w:t>
      </w:r>
      <w:proofErr w:type="spellStart"/>
      <w:r w:rsidRPr="0067747E">
        <w:rPr>
          <w:rFonts w:ascii="Book Antiqua" w:hAnsi="Book Antiqua"/>
          <w:lang w:val="en-ID"/>
        </w:rPr>
        <w:t>Tbk</w:t>
      </w:r>
      <w:proofErr w:type="spellEnd"/>
      <w:r w:rsidRPr="0067747E">
        <w:rPr>
          <w:rFonts w:ascii="Book Antiqua" w:hAnsi="Book Antiqua"/>
          <w:lang w:val="en-ID"/>
        </w:rPr>
        <w:t xml:space="preserve"> </w:t>
      </w:r>
      <w:proofErr w:type="spellStart"/>
      <w:r w:rsidRPr="0067747E">
        <w:rPr>
          <w:rFonts w:ascii="Book Antiqua" w:hAnsi="Book Antiqua"/>
          <w:lang w:val="en-ID"/>
        </w:rPr>
        <w:t>Periode</w:t>
      </w:r>
      <w:proofErr w:type="spellEnd"/>
      <w:r w:rsidRPr="0067747E">
        <w:rPr>
          <w:rFonts w:ascii="Book Antiqua" w:hAnsi="Book Antiqua"/>
          <w:lang w:val="en-ID"/>
        </w:rPr>
        <w:t xml:space="preserve"> 2015–2024. </w:t>
      </w:r>
      <w:proofErr w:type="spellStart"/>
      <w:r w:rsidRPr="0067747E">
        <w:rPr>
          <w:rFonts w:ascii="Book Antiqua" w:hAnsi="Book Antiqua"/>
          <w:lang w:val="en-ID"/>
        </w:rPr>
        <w:t>Diakses</w:t>
      </w:r>
      <w:proofErr w:type="spellEnd"/>
      <w:r w:rsidRPr="0067747E">
        <w:rPr>
          <w:rFonts w:ascii="Book Antiqua" w:hAnsi="Book Antiqua"/>
          <w:lang w:val="en-ID"/>
        </w:rPr>
        <w:t xml:space="preserve"> </w:t>
      </w:r>
      <w:proofErr w:type="spellStart"/>
      <w:r w:rsidRPr="0067747E">
        <w:rPr>
          <w:rFonts w:ascii="Book Antiqua" w:hAnsi="Book Antiqua"/>
          <w:lang w:val="en-ID"/>
        </w:rPr>
        <w:t>dari</w:t>
      </w:r>
      <w:proofErr w:type="spellEnd"/>
      <w:r w:rsidRPr="0067747E">
        <w:rPr>
          <w:rFonts w:ascii="Book Antiqua" w:hAnsi="Book Antiqua"/>
          <w:lang w:val="en-ID"/>
        </w:rPr>
        <w:t xml:space="preserve"> </w:t>
      </w:r>
      <w:hyperlink r:id="rId15" w:history="1">
        <w:r w:rsidRPr="0067747E">
          <w:rPr>
            <w:rStyle w:val="Hyperlink"/>
            <w:rFonts w:ascii="Book Antiqua" w:hAnsi="Book Antiqua"/>
            <w:lang w:val="en-ID"/>
          </w:rPr>
          <w:t>www.cp.co.id</w:t>
        </w:r>
      </w:hyperlink>
    </w:p>
    <w:p w14:paraId="3684F164" w14:textId="77777777" w:rsidR="0067747E" w:rsidRDefault="0067747E" w:rsidP="0067747E">
      <w:pPr>
        <w:ind w:left="720" w:hanging="720"/>
        <w:jc w:val="both"/>
        <w:rPr>
          <w:rFonts w:ascii="Book Antiqua" w:hAnsi="Book Antiqua"/>
          <w:lang w:val="en-ID"/>
        </w:rPr>
      </w:pPr>
      <w:r w:rsidRPr="0067747E">
        <w:rPr>
          <w:rFonts w:ascii="Book Antiqua" w:hAnsi="Book Antiqua"/>
          <w:lang w:val="en-ID"/>
        </w:rPr>
        <w:t xml:space="preserve">Nadia </w:t>
      </w:r>
      <w:proofErr w:type="spellStart"/>
      <w:r w:rsidRPr="0067747E">
        <w:rPr>
          <w:rFonts w:ascii="Book Antiqua" w:hAnsi="Book Antiqua"/>
          <w:lang w:val="en-ID"/>
        </w:rPr>
        <w:t>Utami</w:t>
      </w:r>
      <w:proofErr w:type="spellEnd"/>
      <w:r w:rsidRPr="0067747E">
        <w:rPr>
          <w:rFonts w:ascii="Book Antiqua" w:hAnsi="Book Antiqua"/>
          <w:lang w:val="en-ID"/>
        </w:rPr>
        <w:t xml:space="preserve">, </w:t>
      </w:r>
      <w:proofErr w:type="spellStart"/>
      <w:r w:rsidRPr="0067747E">
        <w:rPr>
          <w:rFonts w:ascii="Book Antiqua" w:hAnsi="Book Antiqua"/>
          <w:lang w:val="en-ID"/>
        </w:rPr>
        <w:t>Susilawati</w:t>
      </w:r>
      <w:proofErr w:type="spellEnd"/>
      <w:r w:rsidRPr="0067747E">
        <w:rPr>
          <w:rFonts w:ascii="Book Antiqua" w:hAnsi="Book Antiqua"/>
          <w:lang w:val="en-ID"/>
        </w:rPr>
        <w:t xml:space="preserve">, &amp; </w:t>
      </w:r>
      <w:proofErr w:type="spellStart"/>
      <w:r w:rsidRPr="0067747E">
        <w:rPr>
          <w:rFonts w:ascii="Book Antiqua" w:hAnsi="Book Antiqua"/>
          <w:lang w:val="en-ID"/>
        </w:rPr>
        <w:t>Jojor</w:t>
      </w:r>
      <w:proofErr w:type="spellEnd"/>
      <w:r w:rsidRPr="0067747E">
        <w:rPr>
          <w:rFonts w:ascii="Book Antiqua" w:hAnsi="Book Antiqua"/>
          <w:lang w:val="en-ID"/>
        </w:rPr>
        <w:t xml:space="preserve"> </w:t>
      </w:r>
      <w:proofErr w:type="spellStart"/>
      <w:r w:rsidRPr="0067747E">
        <w:rPr>
          <w:rFonts w:ascii="Book Antiqua" w:hAnsi="Book Antiqua"/>
          <w:lang w:val="en-ID"/>
        </w:rPr>
        <w:t>Lisbet</w:t>
      </w:r>
      <w:proofErr w:type="spellEnd"/>
      <w:r w:rsidRPr="0067747E">
        <w:rPr>
          <w:rFonts w:ascii="Book Antiqua" w:hAnsi="Book Antiqua"/>
          <w:lang w:val="en-ID"/>
        </w:rPr>
        <w:t xml:space="preserve"> Sibarani. (2024). </w:t>
      </w:r>
      <w:proofErr w:type="spellStart"/>
      <w:r w:rsidRPr="0067747E">
        <w:rPr>
          <w:rFonts w:ascii="Book Antiqua" w:hAnsi="Book Antiqua"/>
          <w:lang w:val="en-ID"/>
        </w:rPr>
        <w:t>Analisis</w:t>
      </w:r>
      <w:proofErr w:type="spellEnd"/>
      <w:r w:rsidRPr="0067747E">
        <w:rPr>
          <w:rFonts w:ascii="Book Antiqua" w:hAnsi="Book Antiqua"/>
          <w:lang w:val="en-ID"/>
        </w:rPr>
        <w:t xml:space="preserve"> </w:t>
      </w:r>
      <w:proofErr w:type="spellStart"/>
      <w:r w:rsidRPr="0067747E">
        <w:rPr>
          <w:rFonts w:ascii="Book Antiqua" w:hAnsi="Book Antiqua"/>
          <w:lang w:val="en-ID"/>
        </w:rPr>
        <w:t>Kinerja</w:t>
      </w:r>
      <w:proofErr w:type="spellEnd"/>
      <w:r w:rsidRPr="0067747E">
        <w:rPr>
          <w:rFonts w:ascii="Book Antiqua" w:hAnsi="Book Antiqua"/>
          <w:lang w:val="en-ID"/>
        </w:rPr>
        <w:t xml:space="preserve"> </w:t>
      </w:r>
      <w:proofErr w:type="spellStart"/>
      <w:r w:rsidRPr="0067747E">
        <w:rPr>
          <w:rFonts w:ascii="Book Antiqua" w:hAnsi="Book Antiqua"/>
          <w:lang w:val="en-ID"/>
        </w:rPr>
        <w:t>Keuangan</w:t>
      </w:r>
      <w:proofErr w:type="spellEnd"/>
      <w:r w:rsidRPr="0067747E">
        <w:rPr>
          <w:rFonts w:ascii="Book Antiqua" w:hAnsi="Book Antiqua"/>
          <w:lang w:val="en-ID"/>
        </w:rPr>
        <w:t xml:space="preserve"> </w:t>
      </w:r>
      <w:proofErr w:type="spellStart"/>
      <w:r w:rsidRPr="0067747E">
        <w:rPr>
          <w:rFonts w:ascii="Book Antiqua" w:hAnsi="Book Antiqua"/>
          <w:lang w:val="en-ID"/>
        </w:rPr>
        <w:t>dengan</w:t>
      </w:r>
      <w:proofErr w:type="spellEnd"/>
      <w:r w:rsidRPr="0067747E">
        <w:rPr>
          <w:rFonts w:ascii="Book Antiqua" w:hAnsi="Book Antiqua"/>
          <w:lang w:val="en-ID"/>
        </w:rPr>
        <w:t xml:space="preserve"> </w:t>
      </w:r>
      <w:proofErr w:type="spellStart"/>
      <w:r w:rsidRPr="0067747E">
        <w:rPr>
          <w:rFonts w:ascii="Book Antiqua" w:hAnsi="Book Antiqua"/>
          <w:lang w:val="en-ID"/>
        </w:rPr>
        <w:t>Menggunakan</w:t>
      </w:r>
      <w:proofErr w:type="spellEnd"/>
      <w:r w:rsidRPr="0067747E">
        <w:rPr>
          <w:rFonts w:ascii="Book Antiqua" w:hAnsi="Book Antiqua"/>
          <w:lang w:val="en-ID"/>
        </w:rPr>
        <w:t xml:space="preserve"> </w:t>
      </w:r>
      <w:proofErr w:type="spellStart"/>
      <w:r w:rsidRPr="0067747E">
        <w:rPr>
          <w:rFonts w:ascii="Book Antiqua" w:hAnsi="Book Antiqua"/>
          <w:lang w:val="en-ID"/>
        </w:rPr>
        <w:t>Sistem</w:t>
      </w:r>
      <w:proofErr w:type="spellEnd"/>
      <w:r w:rsidRPr="0067747E">
        <w:rPr>
          <w:rFonts w:ascii="Book Antiqua" w:hAnsi="Book Antiqua"/>
          <w:lang w:val="en-ID"/>
        </w:rPr>
        <w:t xml:space="preserve"> DuPont pada PT </w:t>
      </w:r>
      <w:proofErr w:type="spellStart"/>
      <w:r w:rsidRPr="0067747E">
        <w:rPr>
          <w:rFonts w:ascii="Book Antiqua" w:hAnsi="Book Antiqua"/>
          <w:lang w:val="en-ID"/>
        </w:rPr>
        <w:t>Mulia</w:t>
      </w:r>
      <w:proofErr w:type="spellEnd"/>
      <w:r w:rsidRPr="0067747E">
        <w:rPr>
          <w:rFonts w:ascii="Book Antiqua" w:hAnsi="Book Antiqua"/>
          <w:lang w:val="en-ID"/>
        </w:rPr>
        <w:t xml:space="preserve"> Boga Raya </w:t>
      </w:r>
      <w:proofErr w:type="spellStart"/>
      <w:r w:rsidRPr="0067747E">
        <w:rPr>
          <w:rFonts w:ascii="Book Antiqua" w:hAnsi="Book Antiqua"/>
          <w:lang w:val="en-ID"/>
        </w:rPr>
        <w:t>Tbk</w:t>
      </w:r>
      <w:proofErr w:type="spellEnd"/>
      <w:r w:rsidRPr="0067747E">
        <w:rPr>
          <w:rFonts w:ascii="Book Antiqua" w:hAnsi="Book Antiqua"/>
          <w:lang w:val="en-ID"/>
        </w:rPr>
        <w:t>.</w:t>
      </w:r>
    </w:p>
    <w:p w14:paraId="5FD98700" w14:textId="3BDA0880" w:rsidR="0067747E" w:rsidRPr="0067747E" w:rsidRDefault="0067747E" w:rsidP="0067747E">
      <w:pPr>
        <w:ind w:left="720" w:hanging="720"/>
        <w:jc w:val="both"/>
        <w:rPr>
          <w:rFonts w:ascii="Book Antiqua" w:hAnsi="Book Antiqua"/>
          <w:lang w:val="en-ID"/>
        </w:rPr>
      </w:pPr>
      <w:proofErr w:type="spellStart"/>
      <w:r w:rsidRPr="0067747E">
        <w:rPr>
          <w:rFonts w:ascii="Book Antiqua" w:hAnsi="Book Antiqua"/>
          <w:lang w:val="en-ID"/>
        </w:rPr>
        <w:t>Qotrunnada</w:t>
      </w:r>
      <w:proofErr w:type="spellEnd"/>
      <w:r w:rsidRPr="0067747E">
        <w:rPr>
          <w:rFonts w:ascii="Book Antiqua" w:hAnsi="Book Antiqua"/>
          <w:lang w:val="en-ID"/>
        </w:rPr>
        <w:t xml:space="preserve">, F., &amp; </w:t>
      </w:r>
      <w:proofErr w:type="spellStart"/>
      <w:r w:rsidRPr="0067747E">
        <w:rPr>
          <w:rFonts w:ascii="Book Antiqua" w:hAnsi="Book Antiqua"/>
          <w:lang w:val="en-ID"/>
        </w:rPr>
        <w:t>Sulistyani</w:t>
      </w:r>
      <w:proofErr w:type="spellEnd"/>
      <w:r w:rsidRPr="0067747E">
        <w:rPr>
          <w:rFonts w:ascii="Book Antiqua" w:hAnsi="Book Antiqua"/>
          <w:lang w:val="en-ID"/>
        </w:rPr>
        <w:t xml:space="preserve">, E. (2023). </w:t>
      </w:r>
      <w:proofErr w:type="spellStart"/>
      <w:r w:rsidRPr="0067747E">
        <w:rPr>
          <w:rFonts w:ascii="Book Antiqua" w:hAnsi="Book Antiqua"/>
          <w:lang w:val="en-ID"/>
        </w:rPr>
        <w:t>Pengaruh</w:t>
      </w:r>
      <w:proofErr w:type="spellEnd"/>
      <w:r w:rsidRPr="0067747E">
        <w:rPr>
          <w:rFonts w:ascii="Book Antiqua" w:hAnsi="Book Antiqua"/>
          <w:lang w:val="en-ID"/>
        </w:rPr>
        <w:t xml:space="preserve"> Current Ratio dan Debt to Equity Ratio </w:t>
      </w:r>
      <w:proofErr w:type="spellStart"/>
      <w:r w:rsidRPr="0067747E">
        <w:rPr>
          <w:rFonts w:ascii="Book Antiqua" w:hAnsi="Book Antiqua"/>
          <w:lang w:val="en-ID"/>
        </w:rPr>
        <w:t>terhadap</w:t>
      </w:r>
      <w:proofErr w:type="spellEnd"/>
      <w:r w:rsidRPr="0067747E">
        <w:rPr>
          <w:rFonts w:ascii="Book Antiqua" w:hAnsi="Book Antiqua"/>
          <w:lang w:val="en-ID"/>
        </w:rPr>
        <w:t xml:space="preserve"> Return on Asset pada PT Charoen Pokphand Indonesia </w:t>
      </w:r>
      <w:proofErr w:type="spellStart"/>
      <w:r w:rsidRPr="0067747E">
        <w:rPr>
          <w:rFonts w:ascii="Book Antiqua" w:hAnsi="Book Antiqua"/>
          <w:lang w:val="en-ID"/>
        </w:rPr>
        <w:t>Tbk</w:t>
      </w:r>
      <w:proofErr w:type="spellEnd"/>
      <w:r w:rsidRPr="0067747E">
        <w:rPr>
          <w:rFonts w:ascii="Book Antiqua" w:hAnsi="Book Antiqua"/>
          <w:lang w:val="en-ID"/>
        </w:rPr>
        <w:t xml:space="preserve"> </w:t>
      </w:r>
      <w:proofErr w:type="spellStart"/>
      <w:r w:rsidRPr="0067747E">
        <w:rPr>
          <w:rFonts w:ascii="Book Antiqua" w:hAnsi="Book Antiqua"/>
          <w:lang w:val="en-ID"/>
        </w:rPr>
        <w:t>Periode</w:t>
      </w:r>
      <w:proofErr w:type="spellEnd"/>
      <w:r w:rsidRPr="0067747E">
        <w:rPr>
          <w:rFonts w:ascii="Book Antiqua" w:hAnsi="Book Antiqua"/>
          <w:lang w:val="en-ID"/>
        </w:rPr>
        <w:t xml:space="preserve"> 2011–2020. </w:t>
      </w:r>
      <w:proofErr w:type="spellStart"/>
      <w:r w:rsidRPr="0067747E">
        <w:rPr>
          <w:rFonts w:ascii="Book Antiqua" w:hAnsi="Book Antiqua"/>
          <w:lang w:val="en-ID"/>
        </w:rPr>
        <w:t>Jurnal</w:t>
      </w:r>
      <w:proofErr w:type="spellEnd"/>
      <w:r w:rsidRPr="0067747E">
        <w:rPr>
          <w:rFonts w:ascii="Book Antiqua" w:hAnsi="Book Antiqua"/>
          <w:lang w:val="en-ID"/>
        </w:rPr>
        <w:t xml:space="preserve"> </w:t>
      </w:r>
      <w:proofErr w:type="spellStart"/>
      <w:r w:rsidRPr="0067747E">
        <w:rPr>
          <w:rFonts w:ascii="Book Antiqua" w:hAnsi="Book Antiqua"/>
          <w:lang w:val="en-ID"/>
        </w:rPr>
        <w:t>Akuntansi</w:t>
      </w:r>
      <w:proofErr w:type="spellEnd"/>
      <w:r w:rsidRPr="0067747E">
        <w:rPr>
          <w:rFonts w:ascii="Book Antiqua" w:hAnsi="Book Antiqua"/>
          <w:lang w:val="en-ID"/>
        </w:rPr>
        <w:t xml:space="preserve"> dan </w:t>
      </w:r>
      <w:proofErr w:type="spellStart"/>
      <w:r w:rsidRPr="0067747E">
        <w:rPr>
          <w:rFonts w:ascii="Book Antiqua" w:hAnsi="Book Antiqua"/>
          <w:lang w:val="en-ID"/>
        </w:rPr>
        <w:t>Keuangan</w:t>
      </w:r>
      <w:proofErr w:type="spellEnd"/>
      <w:r w:rsidRPr="0067747E">
        <w:rPr>
          <w:rFonts w:ascii="Book Antiqua" w:hAnsi="Book Antiqua"/>
          <w:lang w:val="en-ID"/>
        </w:rPr>
        <w:t xml:space="preserve">, </w:t>
      </w:r>
      <w:proofErr w:type="spellStart"/>
      <w:r w:rsidRPr="0067747E">
        <w:rPr>
          <w:rFonts w:ascii="Book Antiqua" w:hAnsi="Book Antiqua"/>
          <w:lang w:val="en-ID"/>
        </w:rPr>
        <w:t>Universitas</w:t>
      </w:r>
      <w:proofErr w:type="spellEnd"/>
      <w:r w:rsidRPr="0067747E">
        <w:rPr>
          <w:rFonts w:ascii="Book Antiqua" w:hAnsi="Book Antiqua"/>
          <w:lang w:val="en-ID"/>
        </w:rPr>
        <w:t xml:space="preserve"> </w:t>
      </w:r>
      <w:proofErr w:type="spellStart"/>
      <w:r w:rsidRPr="0067747E">
        <w:rPr>
          <w:rFonts w:ascii="Book Antiqua" w:hAnsi="Book Antiqua"/>
          <w:lang w:val="en-ID"/>
        </w:rPr>
        <w:t>Muhadi</w:t>
      </w:r>
      <w:proofErr w:type="spellEnd"/>
      <w:r w:rsidRPr="0067747E">
        <w:rPr>
          <w:rFonts w:ascii="Book Antiqua" w:hAnsi="Book Antiqua"/>
          <w:lang w:val="en-ID"/>
        </w:rPr>
        <w:t xml:space="preserve"> </w:t>
      </w:r>
      <w:proofErr w:type="spellStart"/>
      <w:r w:rsidRPr="0067747E">
        <w:rPr>
          <w:rFonts w:ascii="Book Antiqua" w:hAnsi="Book Antiqua"/>
          <w:lang w:val="en-ID"/>
        </w:rPr>
        <w:t>Setiabudi</w:t>
      </w:r>
      <w:proofErr w:type="spellEnd"/>
      <w:r w:rsidRPr="0067747E">
        <w:rPr>
          <w:rFonts w:ascii="Book Antiqua" w:hAnsi="Book Antiqua"/>
          <w:lang w:val="en-ID"/>
        </w:rPr>
        <w:t>.</w:t>
      </w:r>
    </w:p>
    <w:p w14:paraId="4ABDE556" w14:textId="34500FFA" w:rsidR="00FC57AC" w:rsidRPr="000A1F91" w:rsidRDefault="00FC57AC" w:rsidP="000A1F91">
      <w:pPr>
        <w:jc w:val="both"/>
        <w:rPr>
          <w:rFonts w:ascii="Book Antiqua" w:hAnsi="Book Antiqua"/>
          <w:lang w:val="en-US"/>
        </w:rPr>
      </w:pPr>
    </w:p>
    <w:sectPr w:rsidR="00FC57AC" w:rsidRPr="000A1F91" w:rsidSect="00392794">
      <w:headerReference w:type="even" r:id="rId16"/>
      <w:headerReference w:type="default" r:id="rId17"/>
      <w:footerReference w:type="even" r:id="rId18"/>
      <w:footerReference w:type="default" r:id="rId19"/>
      <w:headerReference w:type="first" r:id="rId20"/>
      <w:footerReference w:type="first" r:id="rId21"/>
      <w:type w:val="evenPage"/>
      <w:pgSz w:w="11906" w:h="16838"/>
      <w:pgMar w:top="1440" w:right="1440" w:bottom="1440" w:left="1440" w:header="720" w:footer="720"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5F9A1" w14:textId="77777777" w:rsidR="007053C9" w:rsidRDefault="007053C9" w:rsidP="00DD4FC5">
      <w:r>
        <w:separator/>
      </w:r>
    </w:p>
  </w:endnote>
  <w:endnote w:type="continuationSeparator" w:id="0">
    <w:p w14:paraId="3E1F38CA" w14:textId="77777777" w:rsidR="007053C9" w:rsidRDefault="007053C9" w:rsidP="00DD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11A24"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372339"/>
      <w:docPartObj>
        <w:docPartGallery w:val="Page Numbers (Bottom of Page)"/>
        <w:docPartUnique/>
      </w:docPartObj>
    </w:sdtPr>
    <w:sdtEndPr>
      <w:rPr>
        <w:noProof/>
      </w:rPr>
    </w:sdtEndPr>
    <w:sdtContent>
      <w:bookmarkStart w:id="1" w:name="_GoBack" w:displacedByCustomXml="prev"/>
      <w:bookmarkEnd w:id="1" w:displacedByCustomXml="prev"/>
      <w:p w14:paraId="2F411171" w14:textId="338A9B0B" w:rsidR="000D5EC2" w:rsidRDefault="000D5E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A138A4" w14:textId="77777777" w:rsidR="00CF0747" w:rsidRDefault="00CF0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913461"/>
      <w:docPartObj>
        <w:docPartGallery w:val="Page Numbers (Bottom of Page)"/>
        <w:docPartUnique/>
      </w:docPartObj>
    </w:sdtPr>
    <w:sdtEndPr>
      <w:rPr>
        <w:noProof/>
      </w:rPr>
    </w:sdtEndPr>
    <w:sdtContent>
      <w:p w14:paraId="4E64103A" w14:textId="629C3BA1" w:rsidR="00CF0747" w:rsidRDefault="00CF07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753F4" w14:textId="77777777" w:rsidR="00CF0747" w:rsidRDefault="00CF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28B3D" w14:textId="77777777" w:rsidR="007053C9" w:rsidRDefault="007053C9" w:rsidP="00DD4FC5">
      <w:r>
        <w:separator/>
      </w:r>
    </w:p>
  </w:footnote>
  <w:footnote w:type="continuationSeparator" w:id="0">
    <w:p w14:paraId="502D73BE" w14:textId="77777777" w:rsidR="007053C9" w:rsidRDefault="007053C9" w:rsidP="00DD4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97CE" w14:textId="77777777" w:rsidR="000D5EC2" w:rsidRDefault="000D5E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DD4FC5" w:rsidRPr="00125594" w14:paraId="4C0E3112" w14:textId="77777777" w:rsidTr="003C1622">
      <w:tc>
        <w:tcPr>
          <w:tcW w:w="2874" w:type="dxa"/>
        </w:tcPr>
        <w:p w14:paraId="20815471" w14:textId="77777777" w:rsidR="00DD4FC5" w:rsidRDefault="00DD4FC5" w:rsidP="00DD4FC5">
          <w:pPr>
            <w:jc w:val="left"/>
            <w:rPr>
              <w:rFonts w:ascii="Book Antiqua" w:hAnsi="Book Antiqua" w:cs="Book Antiqua"/>
              <w:lang w:val="en-US"/>
            </w:rPr>
          </w:pPr>
          <w:r>
            <w:rPr>
              <w:rFonts w:ascii="Book Antiqua" w:hAnsi="Book Antiqua" w:cs="Book Antiqua"/>
              <w:noProof/>
              <w:lang w:val="en-US"/>
            </w:rPr>
            <w:drawing>
              <wp:inline distT="0" distB="0" distL="114300" distR="114300" wp14:anchorId="577D54F5" wp14:editId="7E311789">
                <wp:extent cx="1756410" cy="731520"/>
                <wp:effectExtent l="0" t="0" r="15240" b="11430"/>
                <wp:docPr id="1418505853"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1C91342A" w14:textId="77777777" w:rsidR="00DD4FC5" w:rsidRDefault="00DD4FC5" w:rsidP="00DD4FC5">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3505BFF9" w14:textId="2B254DCD" w:rsidR="00DD4FC5" w:rsidRPr="00125594" w:rsidRDefault="00DD4FC5" w:rsidP="00DD4FC5">
          <w:pPr>
            <w:rPr>
              <w:rFonts w:ascii="Book Antiqua" w:hAnsi="Book Antiqua"/>
              <w:color w:val="4472C4" w:themeColor="accent5"/>
              <w:sz w:val="20"/>
              <w:szCs w:val="20"/>
              <w:lang w:val="pt-BR"/>
            </w:rPr>
          </w:pPr>
          <w:r w:rsidRPr="00125594">
            <w:rPr>
              <w:rFonts w:ascii="Book Antiqua" w:hAnsi="Book Antiqua"/>
              <w:color w:val="4472C4" w:themeColor="accent5"/>
              <w:sz w:val="20"/>
              <w:szCs w:val="20"/>
              <w:lang w:val="pt-BR"/>
            </w:rPr>
            <w:t>Vo. 1 No. 1</w:t>
          </w:r>
          <w:r w:rsidR="00065DFB" w:rsidRPr="00125594">
            <w:rPr>
              <w:rFonts w:ascii="Book Antiqua" w:hAnsi="Book Antiqua"/>
              <w:color w:val="4472C4" w:themeColor="accent5"/>
              <w:sz w:val="20"/>
              <w:szCs w:val="20"/>
              <w:lang w:val="pt-BR"/>
            </w:rPr>
            <w:t xml:space="preserve"> 2025</w:t>
          </w:r>
        </w:p>
        <w:p w14:paraId="38A27924" w14:textId="425CAC61" w:rsidR="00DD4FC5" w:rsidRPr="00125594" w:rsidRDefault="00065DFB" w:rsidP="00DD4FC5">
          <w:pPr>
            <w:rPr>
              <w:rFonts w:ascii="Book Antiqua" w:hAnsi="Book Antiqua"/>
              <w:sz w:val="28"/>
              <w:szCs w:val="28"/>
              <w:lang w:val="pt-BR"/>
            </w:rPr>
          </w:pPr>
          <w:r w:rsidRPr="00125594">
            <w:rPr>
              <w:rFonts w:ascii="Book Antiqua" w:hAnsi="Book Antiqua"/>
              <w:color w:val="4472C4" w:themeColor="accent5"/>
              <w:sz w:val="20"/>
              <w:szCs w:val="20"/>
              <w:lang w:val="pt-BR"/>
            </w:rPr>
            <w:t>e</w:t>
          </w:r>
          <w:r w:rsidR="00DD4FC5" w:rsidRPr="00125594">
            <w:rPr>
              <w:rFonts w:ascii="Book Antiqua" w:hAnsi="Book Antiqua"/>
              <w:color w:val="4472C4" w:themeColor="accent5"/>
              <w:sz w:val="20"/>
              <w:szCs w:val="20"/>
              <w:lang w:val="pt-BR"/>
            </w:rPr>
            <w:t>-ISSN : XXXX-XXX</w:t>
          </w:r>
        </w:p>
      </w:tc>
    </w:tr>
  </w:tbl>
  <w:p w14:paraId="58A185D2" w14:textId="77777777" w:rsidR="00DD4FC5" w:rsidRPr="00125594" w:rsidRDefault="00DD4FC5">
    <w:pPr>
      <w:pStyle w:val="Heade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910"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4"/>
      <w:gridCol w:w="6036"/>
    </w:tblGrid>
    <w:tr w:rsidR="00F664BA" w:rsidRPr="00125594" w14:paraId="0D334342" w14:textId="77777777" w:rsidTr="003C1622">
      <w:tc>
        <w:tcPr>
          <w:tcW w:w="2874" w:type="dxa"/>
        </w:tcPr>
        <w:p w14:paraId="62D51D60" w14:textId="77777777" w:rsidR="00F664BA" w:rsidRDefault="00F664BA" w:rsidP="00F664BA">
          <w:pPr>
            <w:jc w:val="left"/>
            <w:rPr>
              <w:rFonts w:ascii="Book Antiqua" w:hAnsi="Book Antiqua" w:cs="Book Antiqua"/>
              <w:lang w:val="en-US"/>
            </w:rPr>
          </w:pPr>
          <w:r>
            <w:rPr>
              <w:rFonts w:ascii="Book Antiqua" w:hAnsi="Book Antiqua" w:cs="Book Antiqua"/>
              <w:noProof/>
              <w:lang w:val="en-US"/>
            </w:rPr>
            <w:drawing>
              <wp:inline distT="0" distB="0" distL="114300" distR="114300" wp14:anchorId="02A7E504" wp14:editId="7E097A1B">
                <wp:extent cx="1756410" cy="731520"/>
                <wp:effectExtent l="0" t="0" r="15240" b="11430"/>
                <wp:docPr id="3" name="Picture 8" descr="Logo Icom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mbec"/>
                        <pic:cNvPicPr>
                          <a:picLocks noChangeAspect="1"/>
                        </pic:cNvPicPr>
                      </pic:nvPicPr>
                      <pic:blipFill>
                        <a:blip r:embed="rId1"/>
                        <a:srcRect t="27639" b="30694"/>
                        <a:stretch>
                          <a:fillRect/>
                        </a:stretch>
                      </pic:blipFill>
                      <pic:spPr>
                        <a:xfrm>
                          <a:off x="0" y="0"/>
                          <a:ext cx="1756410" cy="731520"/>
                        </a:xfrm>
                        <a:prstGeom prst="rect">
                          <a:avLst/>
                        </a:prstGeom>
                      </pic:spPr>
                    </pic:pic>
                  </a:graphicData>
                </a:graphic>
              </wp:inline>
            </w:drawing>
          </w:r>
        </w:p>
      </w:tc>
      <w:tc>
        <w:tcPr>
          <w:tcW w:w="6036" w:type="dxa"/>
        </w:tcPr>
        <w:p w14:paraId="24D4D2AE" w14:textId="77777777" w:rsidR="00F664BA" w:rsidRDefault="00F664BA" w:rsidP="00F664BA">
          <w:pPr>
            <w:rPr>
              <w:rFonts w:ascii="Book Antiqua" w:hAnsi="Book Antiqua"/>
              <w:b/>
              <w:bCs/>
              <w:color w:val="002060"/>
              <w:sz w:val="28"/>
              <w:szCs w:val="28"/>
              <w:lang w:val="en-US"/>
            </w:rPr>
          </w:pPr>
          <w:r>
            <w:rPr>
              <w:rFonts w:ascii="Book Antiqua" w:hAnsi="Book Antiqua"/>
              <w:b/>
              <w:bCs/>
              <w:color w:val="002060"/>
              <w:sz w:val="28"/>
              <w:szCs w:val="28"/>
              <w:lang w:val="en-US"/>
            </w:rPr>
            <w:t>1</w:t>
          </w:r>
          <w:r>
            <w:rPr>
              <w:rFonts w:ascii="Book Antiqua" w:hAnsi="Book Antiqua"/>
              <w:b/>
              <w:bCs/>
              <w:color w:val="002060"/>
              <w:sz w:val="28"/>
              <w:szCs w:val="28"/>
              <w:vertAlign w:val="superscript"/>
              <w:lang w:val="en-US"/>
            </w:rPr>
            <w:t>st</w:t>
          </w:r>
          <w:r>
            <w:rPr>
              <w:rFonts w:ascii="Book Antiqua" w:hAnsi="Book Antiqua"/>
              <w:b/>
              <w:bCs/>
              <w:color w:val="002060"/>
              <w:sz w:val="28"/>
              <w:szCs w:val="28"/>
              <w:lang w:val="en-US"/>
            </w:rPr>
            <w:t xml:space="preserve"> International Conference on Management, Business and Economy (</w:t>
          </w:r>
          <w:proofErr w:type="spellStart"/>
          <w:r>
            <w:rPr>
              <w:rFonts w:ascii="Book Antiqua" w:hAnsi="Book Antiqua"/>
              <w:b/>
              <w:bCs/>
              <w:color w:val="002060"/>
              <w:sz w:val="28"/>
              <w:szCs w:val="28"/>
              <w:lang w:val="en-US"/>
            </w:rPr>
            <w:t>ICoMBEc</w:t>
          </w:r>
          <w:proofErr w:type="spellEnd"/>
          <w:r>
            <w:rPr>
              <w:rFonts w:ascii="Book Antiqua" w:hAnsi="Book Antiqua"/>
              <w:b/>
              <w:bCs/>
              <w:color w:val="002060"/>
              <w:sz w:val="28"/>
              <w:szCs w:val="28"/>
              <w:lang w:val="en-US"/>
            </w:rPr>
            <w:t xml:space="preserve"> 2025)</w:t>
          </w:r>
        </w:p>
        <w:p w14:paraId="13A318C8" w14:textId="77777777" w:rsidR="00F664BA" w:rsidRPr="00125594" w:rsidRDefault="00F664BA" w:rsidP="00F664BA">
          <w:pPr>
            <w:rPr>
              <w:rFonts w:ascii="Book Antiqua" w:hAnsi="Book Antiqua"/>
              <w:color w:val="4472C4" w:themeColor="accent5"/>
              <w:sz w:val="20"/>
              <w:szCs w:val="20"/>
              <w:lang w:val="pt-BR"/>
            </w:rPr>
          </w:pPr>
          <w:r w:rsidRPr="00125594">
            <w:rPr>
              <w:rFonts w:ascii="Book Antiqua" w:hAnsi="Book Antiqua"/>
              <w:color w:val="4472C4" w:themeColor="accent5"/>
              <w:sz w:val="20"/>
              <w:szCs w:val="20"/>
              <w:lang w:val="pt-BR"/>
            </w:rPr>
            <w:t>Vo. 1 No. 1 2025</w:t>
          </w:r>
        </w:p>
        <w:p w14:paraId="72FA73A4" w14:textId="77777777" w:rsidR="00F664BA" w:rsidRPr="00125594" w:rsidRDefault="00F664BA" w:rsidP="00F664BA">
          <w:pPr>
            <w:rPr>
              <w:rFonts w:ascii="Book Antiqua" w:hAnsi="Book Antiqua"/>
              <w:sz w:val="28"/>
              <w:szCs w:val="28"/>
              <w:lang w:val="pt-BR"/>
            </w:rPr>
          </w:pPr>
          <w:r w:rsidRPr="00125594">
            <w:rPr>
              <w:rFonts w:ascii="Book Antiqua" w:hAnsi="Book Antiqua"/>
              <w:color w:val="4472C4" w:themeColor="accent5"/>
              <w:sz w:val="20"/>
              <w:szCs w:val="20"/>
              <w:lang w:val="pt-BR"/>
            </w:rPr>
            <w:t>e-ISSN : XXXX-XXX</w:t>
          </w:r>
        </w:p>
      </w:tc>
    </w:tr>
  </w:tbl>
  <w:p w14:paraId="48E70C5E" w14:textId="77777777" w:rsidR="00F664BA" w:rsidRPr="00125594" w:rsidRDefault="00F664BA">
    <w:pPr>
      <w:pStyle w:val="Header"/>
      <w:rPr>
        <w:rFonts w:eastAsiaTheme="minorEastAsia"/>
        <w:lang w:val="pt-BR"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BB344A"/>
    <w:multiLevelType w:val="singleLevel"/>
    <w:tmpl w:val="C8BB344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4D35ED0"/>
    <w:multiLevelType w:val="singleLevel"/>
    <w:tmpl w:val="F4D35ED0"/>
    <w:lvl w:ilvl="0">
      <w:start w:val="1"/>
      <w:numFmt w:val="decimal"/>
      <w:lvlText w:val="%1."/>
      <w:lvlJc w:val="left"/>
      <w:pPr>
        <w:tabs>
          <w:tab w:val="left" w:pos="425"/>
        </w:tabs>
        <w:ind w:left="425" w:hanging="425"/>
      </w:pPr>
      <w:rPr>
        <w:rFonts w:hint="default"/>
      </w:rPr>
    </w:lvl>
  </w:abstractNum>
  <w:abstractNum w:abstractNumId="2" w15:restartNumberingAfterBreak="0">
    <w:nsid w:val="0A90780F"/>
    <w:multiLevelType w:val="hybridMultilevel"/>
    <w:tmpl w:val="670E052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F1A05F0"/>
    <w:multiLevelType w:val="singleLevel"/>
    <w:tmpl w:val="0F1A05F0"/>
    <w:lvl w:ilvl="0">
      <w:start w:val="1"/>
      <w:numFmt w:val="decimal"/>
      <w:lvlText w:val="%1."/>
      <w:lvlJc w:val="left"/>
      <w:pPr>
        <w:tabs>
          <w:tab w:val="left" w:pos="425"/>
        </w:tabs>
        <w:ind w:left="425" w:hanging="425"/>
      </w:pPr>
      <w:rPr>
        <w:rFonts w:hint="default"/>
      </w:rPr>
    </w:lvl>
  </w:abstractNum>
  <w:abstractNum w:abstractNumId="4" w15:restartNumberingAfterBreak="0">
    <w:nsid w:val="106774B9"/>
    <w:multiLevelType w:val="hybridMultilevel"/>
    <w:tmpl w:val="75F6FD4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F6C31E9"/>
    <w:multiLevelType w:val="hybridMultilevel"/>
    <w:tmpl w:val="0A92FE8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320B0EB1"/>
    <w:multiLevelType w:val="hybridMultilevel"/>
    <w:tmpl w:val="3806BD4E"/>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4420957"/>
    <w:multiLevelType w:val="hybridMultilevel"/>
    <w:tmpl w:val="D64CAF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73207A"/>
    <w:multiLevelType w:val="hybridMultilevel"/>
    <w:tmpl w:val="2E5CEB3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16670"/>
    <w:multiLevelType w:val="hybridMultilevel"/>
    <w:tmpl w:val="595EF0D4"/>
    <w:lvl w:ilvl="0" w:tplc="85CE9C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8045BF"/>
    <w:multiLevelType w:val="hybridMultilevel"/>
    <w:tmpl w:val="0228F14A"/>
    <w:lvl w:ilvl="0" w:tplc="349E1C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44EAE"/>
    <w:multiLevelType w:val="hybridMultilevel"/>
    <w:tmpl w:val="595EF0D4"/>
    <w:lvl w:ilvl="0" w:tplc="85CE9C5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5884A"/>
    <w:multiLevelType w:val="singleLevel"/>
    <w:tmpl w:val="68C5884A"/>
    <w:lvl w:ilvl="0">
      <w:start w:val="1"/>
      <w:numFmt w:val="decimal"/>
      <w:lvlText w:val="%1."/>
      <w:lvlJc w:val="left"/>
      <w:pPr>
        <w:tabs>
          <w:tab w:val="left" w:pos="425"/>
        </w:tabs>
        <w:ind w:left="425" w:hanging="425"/>
      </w:pPr>
      <w:rPr>
        <w:rFonts w:hint="default"/>
      </w:rPr>
    </w:lvl>
  </w:abstractNum>
  <w:abstractNum w:abstractNumId="13" w15:restartNumberingAfterBreak="0">
    <w:nsid w:val="6BE8674D"/>
    <w:multiLevelType w:val="hybridMultilevel"/>
    <w:tmpl w:val="6EB0E0D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6F0B3EF5"/>
    <w:multiLevelType w:val="hybridMultilevel"/>
    <w:tmpl w:val="72406FCA"/>
    <w:lvl w:ilvl="0" w:tplc="1142955E">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1"/>
  </w:num>
  <w:num w:numId="2">
    <w:abstractNumId w:val="12"/>
  </w:num>
  <w:num w:numId="3">
    <w:abstractNumId w:val="3"/>
  </w:num>
  <w:num w:numId="4">
    <w:abstractNumId w:val="0"/>
  </w:num>
  <w:num w:numId="5">
    <w:abstractNumId w:val="6"/>
  </w:num>
  <w:num w:numId="6">
    <w:abstractNumId w:val="8"/>
  </w:num>
  <w:num w:numId="7">
    <w:abstractNumId w:val="11"/>
  </w:num>
  <w:num w:numId="8">
    <w:abstractNumId w:val="10"/>
  </w:num>
  <w:num w:numId="9">
    <w:abstractNumId w:val="7"/>
  </w:num>
  <w:num w:numId="10">
    <w:abstractNumId w:val="4"/>
  </w:num>
  <w:num w:numId="11">
    <w:abstractNumId w:val="9"/>
  </w:num>
  <w:num w:numId="12">
    <w:abstractNumId w:val="13"/>
  </w:num>
  <w:num w:numId="13">
    <w:abstractNumId w:val="14"/>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B012FF"/>
    <w:rsid w:val="000423D5"/>
    <w:rsid w:val="00065DFB"/>
    <w:rsid w:val="000671CF"/>
    <w:rsid w:val="000A1F91"/>
    <w:rsid w:val="000D1B01"/>
    <w:rsid w:val="000D5EC2"/>
    <w:rsid w:val="00106E61"/>
    <w:rsid w:val="0011423C"/>
    <w:rsid w:val="00117D8D"/>
    <w:rsid w:val="00125594"/>
    <w:rsid w:val="00145027"/>
    <w:rsid w:val="00160BEC"/>
    <w:rsid w:val="0016253B"/>
    <w:rsid w:val="00193C6E"/>
    <w:rsid w:val="001A04C0"/>
    <w:rsid w:val="001E6D17"/>
    <w:rsid w:val="00221870"/>
    <w:rsid w:val="00296591"/>
    <w:rsid w:val="002A59C4"/>
    <w:rsid w:val="002C43BA"/>
    <w:rsid w:val="002E595F"/>
    <w:rsid w:val="002F2C5C"/>
    <w:rsid w:val="00311018"/>
    <w:rsid w:val="00355603"/>
    <w:rsid w:val="00367A28"/>
    <w:rsid w:val="00392794"/>
    <w:rsid w:val="003C1622"/>
    <w:rsid w:val="003C16D1"/>
    <w:rsid w:val="003C4FE0"/>
    <w:rsid w:val="003E4784"/>
    <w:rsid w:val="00406DB5"/>
    <w:rsid w:val="004138A5"/>
    <w:rsid w:val="00413EB4"/>
    <w:rsid w:val="00487892"/>
    <w:rsid w:val="004924F3"/>
    <w:rsid w:val="004B2CD7"/>
    <w:rsid w:val="004F04A3"/>
    <w:rsid w:val="005048C5"/>
    <w:rsid w:val="00547509"/>
    <w:rsid w:val="00574B72"/>
    <w:rsid w:val="005956EE"/>
    <w:rsid w:val="00660D8E"/>
    <w:rsid w:val="00662B11"/>
    <w:rsid w:val="0067747E"/>
    <w:rsid w:val="00685188"/>
    <w:rsid w:val="006E60F5"/>
    <w:rsid w:val="007053C9"/>
    <w:rsid w:val="007576BD"/>
    <w:rsid w:val="00763E73"/>
    <w:rsid w:val="00773709"/>
    <w:rsid w:val="00776EF6"/>
    <w:rsid w:val="007A5259"/>
    <w:rsid w:val="007E0AE8"/>
    <w:rsid w:val="00835111"/>
    <w:rsid w:val="00856F5B"/>
    <w:rsid w:val="008A44DD"/>
    <w:rsid w:val="008B1C81"/>
    <w:rsid w:val="008C260E"/>
    <w:rsid w:val="008C73DF"/>
    <w:rsid w:val="00912EC6"/>
    <w:rsid w:val="00956838"/>
    <w:rsid w:val="00974C01"/>
    <w:rsid w:val="009841DC"/>
    <w:rsid w:val="0099230A"/>
    <w:rsid w:val="009977B4"/>
    <w:rsid w:val="009B01FC"/>
    <w:rsid w:val="009B52E3"/>
    <w:rsid w:val="009D7402"/>
    <w:rsid w:val="009F4619"/>
    <w:rsid w:val="00A035D3"/>
    <w:rsid w:val="00A52BE8"/>
    <w:rsid w:val="00A76973"/>
    <w:rsid w:val="00A8474A"/>
    <w:rsid w:val="00AA2B1D"/>
    <w:rsid w:val="00AA7476"/>
    <w:rsid w:val="00AC136E"/>
    <w:rsid w:val="00AD62CC"/>
    <w:rsid w:val="00B32235"/>
    <w:rsid w:val="00B322F7"/>
    <w:rsid w:val="00B53787"/>
    <w:rsid w:val="00B77399"/>
    <w:rsid w:val="00BA39DE"/>
    <w:rsid w:val="00BB56F8"/>
    <w:rsid w:val="00BE3CEA"/>
    <w:rsid w:val="00C12926"/>
    <w:rsid w:val="00C34958"/>
    <w:rsid w:val="00C446F2"/>
    <w:rsid w:val="00C736EB"/>
    <w:rsid w:val="00CE47A4"/>
    <w:rsid w:val="00CF0747"/>
    <w:rsid w:val="00D20C20"/>
    <w:rsid w:val="00D25954"/>
    <w:rsid w:val="00D41D7C"/>
    <w:rsid w:val="00D45C7C"/>
    <w:rsid w:val="00D7358F"/>
    <w:rsid w:val="00DD4FC5"/>
    <w:rsid w:val="00DE64A9"/>
    <w:rsid w:val="00E0292D"/>
    <w:rsid w:val="00E12EB7"/>
    <w:rsid w:val="00E439A7"/>
    <w:rsid w:val="00E67C5D"/>
    <w:rsid w:val="00EC7DCE"/>
    <w:rsid w:val="00ED7B8C"/>
    <w:rsid w:val="00F43535"/>
    <w:rsid w:val="00F647D1"/>
    <w:rsid w:val="00F664BA"/>
    <w:rsid w:val="00F703DE"/>
    <w:rsid w:val="00F926EF"/>
    <w:rsid w:val="00FC57AC"/>
    <w:rsid w:val="00FD0525"/>
    <w:rsid w:val="00FE7E08"/>
    <w:rsid w:val="62B012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10F13"/>
  <w15:docId w15:val="{EB2EC043-9EED-41E3-9451-62D83D52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619"/>
    <w:rPr>
      <w:rFonts w:ascii="Cambria" w:eastAsia="Cambria" w:hAnsi="Cambria" w:cs="Cambria"/>
      <w:sz w:val="24"/>
      <w:szCs w:val="24"/>
      <w:lang w:val="zh-CN"/>
    </w:rPr>
  </w:style>
  <w:style w:type="paragraph" w:styleId="Heading2">
    <w:name w:val="heading 2"/>
    <w:basedOn w:val="Normal"/>
    <w:next w:val="Normal"/>
    <w:link w:val="Heading2Char"/>
    <w:semiHidden/>
    <w:unhideWhenUsed/>
    <w:qFormat/>
    <w:rsid w:val="0068518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474A"/>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32">
    <w:name w:val="_Style 32"/>
    <w:basedOn w:val="TableNormal0"/>
    <w:qFormat/>
    <w:tblPr>
      <w:tblCellMar>
        <w:left w:w="108" w:type="dxa"/>
        <w:right w:w="108" w:type="dxa"/>
      </w:tblCellMar>
    </w:tblPr>
  </w:style>
  <w:style w:type="table" w:customStyle="1" w:styleId="TableNormal0">
    <w:name w:val="TableNormal"/>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E0AE8"/>
    <w:rPr>
      <w:color w:val="605E5C"/>
      <w:shd w:val="clear" w:color="auto" w:fill="E1DFDD"/>
    </w:rPr>
  </w:style>
  <w:style w:type="paragraph" w:styleId="ListParagraph">
    <w:name w:val="List Paragraph"/>
    <w:basedOn w:val="Normal"/>
    <w:uiPriority w:val="99"/>
    <w:rsid w:val="007E0AE8"/>
    <w:pPr>
      <w:ind w:left="720"/>
      <w:contextualSpacing/>
    </w:pPr>
  </w:style>
  <w:style w:type="paragraph" w:styleId="Caption">
    <w:name w:val="caption"/>
    <w:basedOn w:val="Normal"/>
    <w:next w:val="Normal"/>
    <w:unhideWhenUsed/>
    <w:qFormat/>
    <w:rsid w:val="008B1C81"/>
    <w:pPr>
      <w:spacing w:after="200"/>
    </w:pPr>
    <w:rPr>
      <w:i/>
      <w:iCs/>
      <w:color w:val="44546A" w:themeColor="text2"/>
      <w:sz w:val="18"/>
      <w:szCs w:val="18"/>
    </w:rPr>
  </w:style>
  <w:style w:type="character" w:customStyle="1" w:styleId="Heading3Char">
    <w:name w:val="Heading 3 Char"/>
    <w:basedOn w:val="DefaultParagraphFont"/>
    <w:link w:val="Heading3"/>
    <w:uiPriority w:val="9"/>
    <w:rsid w:val="00A8474A"/>
    <w:rPr>
      <w:rFonts w:eastAsia="Times New Roman"/>
      <w:b/>
      <w:bCs/>
      <w:sz w:val="27"/>
      <w:szCs w:val="27"/>
    </w:rPr>
  </w:style>
  <w:style w:type="paragraph" w:styleId="NormalWeb">
    <w:name w:val="Normal (Web)"/>
    <w:basedOn w:val="Normal"/>
    <w:uiPriority w:val="99"/>
    <w:unhideWhenUsed/>
    <w:rsid w:val="00A8474A"/>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A8474A"/>
    <w:rPr>
      <w:b/>
      <w:bCs/>
    </w:rPr>
  </w:style>
  <w:style w:type="character" w:customStyle="1" w:styleId="Heading2Char">
    <w:name w:val="Heading 2 Char"/>
    <w:basedOn w:val="DefaultParagraphFont"/>
    <w:link w:val="Heading2"/>
    <w:semiHidden/>
    <w:rsid w:val="00685188"/>
    <w:rPr>
      <w:rFonts w:asciiTheme="majorHAnsi" w:eastAsiaTheme="majorEastAsia" w:hAnsiTheme="majorHAnsi" w:cstheme="majorBidi"/>
      <w:color w:val="2E74B5" w:themeColor="accent1" w:themeShade="BF"/>
      <w:sz w:val="26"/>
      <w:szCs w:val="26"/>
      <w:lang w:val="zh-CN"/>
    </w:rPr>
  </w:style>
  <w:style w:type="character" w:styleId="PlaceholderText">
    <w:name w:val="Placeholder Text"/>
    <w:basedOn w:val="DefaultParagraphFont"/>
    <w:uiPriority w:val="99"/>
    <w:semiHidden/>
    <w:rsid w:val="00221870"/>
    <w:rPr>
      <w:color w:val="808080"/>
    </w:rPr>
  </w:style>
  <w:style w:type="character" w:customStyle="1" w:styleId="FooterChar">
    <w:name w:val="Footer Char"/>
    <w:basedOn w:val="DefaultParagraphFont"/>
    <w:link w:val="Footer"/>
    <w:uiPriority w:val="99"/>
    <w:rsid w:val="00CF0747"/>
    <w:rPr>
      <w:rFonts w:ascii="Cambria" w:eastAsia="Cambria" w:hAnsi="Cambria" w:cs="Cambria"/>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602457">
      <w:bodyDiv w:val="1"/>
      <w:marLeft w:val="0"/>
      <w:marRight w:val="0"/>
      <w:marTop w:val="0"/>
      <w:marBottom w:val="0"/>
      <w:divBdr>
        <w:top w:val="none" w:sz="0" w:space="0" w:color="auto"/>
        <w:left w:val="none" w:sz="0" w:space="0" w:color="auto"/>
        <w:bottom w:val="none" w:sz="0" w:space="0" w:color="auto"/>
        <w:right w:val="none" w:sz="0" w:space="0" w:color="auto"/>
      </w:divBdr>
    </w:div>
    <w:div w:id="1280062824">
      <w:bodyDiv w:val="1"/>
      <w:marLeft w:val="0"/>
      <w:marRight w:val="0"/>
      <w:marTop w:val="0"/>
      <w:marBottom w:val="0"/>
      <w:divBdr>
        <w:top w:val="none" w:sz="0" w:space="0" w:color="auto"/>
        <w:left w:val="none" w:sz="0" w:space="0" w:color="auto"/>
        <w:bottom w:val="none" w:sz="0" w:space="0" w:color="auto"/>
        <w:right w:val="none" w:sz="0" w:space="0" w:color="auto"/>
      </w:divBdr>
    </w:div>
    <w:div w:id="1450465958">
      <w:bodyDiv w:val="1"/>
      <w:marLeft w:val="0"/>
      <w:marRight w:val="0"/>
      <w:marTop w:val="0"/>
      <w:marBottom w:val="0"/>
      <w:divBdr>
        <w:top w:val="none" w:sz="0" w:space="0" w:color="auto"/>
        <w:left w:val="none" w:sz="0" w:space="0" w:color="auto"/>
        <w:bottom w:val="none" w:sz="0" w:space="0" w:color="auto"/>
        <w:right w:val="none" w:sz="0" w:space="0" w:color="auto"/>
      </w:divBdr>
    </w:div>
    <w:div w:id="156861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halifiah@gmail.co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co.id" TargetMode="External"/><Relationship Id="rId5" Type="http://schemas.openxmlformats.org/officeDocument/2006/relationships/webSettings" Target="webSettings.xml"/><Relationship Id="rId15" Type="http://schemas.openxmlformats.org/officeDocument/2006/relationships/hyperlink" Target="http://www.cp.co.id" TargetMode="External"/><Relationship Id="rId23" Type="http://schemas.openxmlformats.org/officeDocument/2006/relationships/theme" Target="theme/theme1.xml"/><Relationship Id="rId10" Type="http://schemas.openxmlformats.org/officeDocument/2006/relationships/hyperlink" Target="http://www.idx.co.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hare.google/qBgXG3F4A04uPEwCS"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829D1-9BE7-447E-9DEE-DB40FE717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3499</Words>
  <Characters>19948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 nuryani</dc:creator>
  <cp:keywords/>
  <dc:description/>
  <cp:lastModifiedBy>TURNITIN 2</cp:lastModifiedBy>
  <cp:revision>6</cp:revision>
  <dcterms:created xsi:type="dcterms:W3CDTF">2025-11-25T11:17:00Z</dcterms:created>
  <dcterms:modified xsi:type="dcterms:W3CDTF">2026-01-06T08:01:00Z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CD776D86EE214040BB79FAC06D4FFD71_11</vt:lpwstr>
  </property>
</Properties>
</file>