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DF276" w14:textId="05CF1E28" w:rsidR="009F4619" w:rsidRPr="002F2C5C" w:rsidRDefault="00592A5A" w:rsidP="009F4619">
      <w:pPr>
        <w:jc w:val="center"/>
        <w:rPr>
          <w:rFonts w:ascii="Book Antiqua" w:hAnsi="Book Antiqua"/>
          <w:b/>
          <w:bCs/>
          <w:sz w:val="28"/>
          <w:szCs w:val="28"/>
          <w:lang w:val="en-US"/>
        </w:rPr>
      </w:pPr>
      <w:r w:rsidRPr="00592A5A">
        <w:rPr>
          <w:rFonts w:ascii="Book Antiqua" w:hAnsi="Book Antiqua"/>
          <w:b/>
          <w:bCs/>
          <w:sz w:val="28"/>
          <w:szCs w:val="28"/>
          <w:lang w:val="en-US"/>
        </w:rPr>
        <w:t>THE INFLUENCE OF ACTIVITY RATIOS ON PROFITABILITY LEVELS AT PT JAPFA COMFEED INDONESIA TBK FOR THE PERIOD 2015-2024</w:t>
      </w:r>
    </w:p>
    <w:p w14:paraId="615DF1AB" w14:textId="04C8725D" w:rsidR="009F4619" w:rsidRPr="000A1F91" w:rsidRDefault="009F4619" w:rsidP="000A1F91">
      <w:pPr>
        <w:jc w:val="center"/>
        <w:rPr>
          <w:rFonts w:ascii="Book Antiqua" w:hAnsi="Book Antiqua"/>
          <w:lang w:val="en-US"/>
        </w:rPr>
      </w:pPr>
    </w:p>
    <w:p w14:paraId="516B40FD" w14:textId="77777777" w:rsidR="00C91ECA" w:rsidRPr="00C91ECA" w:rsidRDefault="00C91ECA" w:rsidP="00C91ECA">
      <w:pPr>
        <w:jc w:val="center"/>
        <w:rPr>
          <w:rFonts w:ascii="Book Antiqua" w:hAnsi="Book Antiqua"/>
          <w:lang w:val="en-US"/>
        </w:rPr>
      </w:pPr>
      <w:r w:rsidRPr="00C91ECA">
        <w:rPr>
          <w:rFonts w:ascii="Book Antiqua" w:hAnsi="Book Antiqua"/>
          <w:lang w:val="en-US"/>
        </w:rPr>
        <w:t>Kessa Audina</w:t>
      </w:r>
    </w:p>
    <w:p w14:paraId="1AA90B8B" w14:textId="1F2FBD47" w:rsidR="00C91ECA" w:rsidRPr="00C91ECA" w:rsidRDefault="00F722FD" w:rsidP="00C91ECA">
      <w:pPr>
        <w:jc w:val="center"/>
        <w:rPr>
          <w:rFonts w:ascii="Book Antiqua" w:hAnsi="Book Antiqua"/>
          <w:lang w:val="en-US"/>
        </w:rPr>
      </w:pPr>
      <w:r>
        <w:rPr>
          <w:rFonts w:ascii="Book Antiqua" w:hAnsi="Book Antiqua"/>
          <w:lang w:val="en-US"/>
        </w:rPr>
        <w:t>Pamulang University, Management Study Program</w:t>
      </w:r>
    </w:p>
    <w:p w14:paraId="4D7CFE42" w14:textId="2C6A0310" w:rsidR="009F4619" w:rsidRPr="000A1F91" w:rsidRDefault="001A6013" w:rsidP="00C91ECA">
      <w:pPr>
        <w:jc w:val="center"/>
        <w:rPr>
          <w:rFonts w:ascii="Book Antiqua" w:hAnsi="Book Antiqua"/>
          <w:lang w:val="en-US"/>
        </w:rPr>
      </w:pPr>
      <w:hyperlink r:id="rId8" w:history="1">
        <w:r w:rsidR="00C91ECA" w:rsidRPr="00873CD5">
          <w:rPr>
            <w:rStyle w:val="Hyperlink"/>
            <w:rFonts w:ascii="Book Antiqua" w:hAnsi="Book Antiqua"/>
            <w:lang w:val="en-US"/>
          </w:rPr>
          <w:t>Kessaaudina2912@gmail.com</w:t>
        </w:r>
      </w:hyperlink>
      <w:r w:rsidR="00C91ECA">
        <w:rPr>
          <w:rFonts w:ascii="Book Antiqua" w:hAnsi="Book Antiqua"/>
          <w:lang w:val="en-US"/>
        </w:rPr>
        <w:t xml:space="preserve"> </w:t>
      </w:r>
    </w:p>
    <w:p w14:paraId="4F331400" w14:textId="77777777" w:rsidR="009F4619" w:rsidRPr="000A1F91" w:rsidRDefault="009F4619" w:rsidP="000A1F91">
      <w:pPr>
        <w:jc w:val="both"/>
        <w:rPr>
          <w:rFonts w:ascii="Book Antiqua" w:hAnsi="Book Antiqua"/>
          <w:lang w:val="en-US"/>
        </w:rPr>
      </w:pPr>
    </w:p>
    <w:p w14:paraId="75931EA9" w14:textId="0BE5CD13" w:rsidR="009F4619" w:rsidRPr="000A1F91" w:rsidRDefault="00011C07" w:rsidP="000A1F91">
      <w:pPr>
        <w:jc w:val="center"/>
        <w:rPr>
          <w:rFonts w:ascii="Book Antiqua" w:hAnsi="Book Antiqua"/>
          <w:b/>
          <w:bCs/>
          <w:lang w:val="en-US"/>
        </w:rPr>
      </w:pPr>
      <w:r w:rsidRPr="00011C07">
        <w:rPr>
          <w:rFonts w:ascii="Book Antiqua" w:hAnsi="Book Antiqua"/>
          <w:b/>
          <w:bCs/>
          <w:lang w:val="en-US"/>
        </w:rPr>
        <w:t>Abstract</w:t>
      </w:r>
    </w:p>
    <w:p w14:paraId="21D88FD1" w14:textId="23C18187" w:rsidR="00C91ECA" w:rsidRPr="00C91ECA" w:rsidRDefault="00011C07" w:rsidP="00C91ECA">
      <w:pPr>
        <w:jc w:val="both"/>
        <w:rPr>
          <w:rFonts w:ascii="Book Antiqua" w:hAnsi="Book Antiqua"/>
          <w:lang w:val="en-US"/>
        </w:rPr>
      </w:pPr>
      <w:r>
        <w:rPr>
          <w:rFonts w:ascii="Book Antiqua" w:hAnsi="Book Antiqua"/>
          <w:lang w:val="en-US"/>
        </w:rPr>
        <w:tab/>
      </w:r>
      <w:r w:rsidR="00C91ECA" w:rsidRPr="00C91ECA">
        <w:rPr>
          <w:rFonts w:ascii="Book Antiqua" w:hAnsi="Book Antiqua"/>
          <w:lang w:val="en-US"/>
        </w:rPr>
        <w:t>This study aims to determine the influence of activity ratios on profitability levels at PT Japfa Comfeed Indonesia Tbk during the period 2015–2024. The activity ratios analyzed include Cash Turn Over (CTO), Receivable Turn Over (RTO), Inventory Turn Over (ITO), Fixed Asset Turn Over (FATO), and Total Asset Turn Over (TATO). Meanwhile, the profitability ratios used as indicators of the company's financial performance consist of Gross Profit Margin (GPM), Operating Profit Margin (OPM), Net Profit Margin (NPM), Return on Assets (ROA), Return on Equity (ROE), Earnings per Share (EPS), and Dividend per Share (DPS).</w:t>
      </w:r>
    </w:p>
    <w:p w14:paraId="2811E24C" w14:textId="3F4C8574" w:rsidR="000A1F91" w:rsidRPr="000A1F91" w:rsidRDefault="00C91ECA" w:rsidP="00C91ECA">
      <w:pPr>
        <w:jc w:val="both"/>
        <w:rPr>
          <w:rFonts w:ascii="Book Antiqua" w:hAnsi="Book Antiqua"/>
          <w:lang w:val="en-US"/>
        </w:rPr>
      </w:pPr>
      <w:r>
        <w:rPr>
          <w:rFonts w:ascii="Book Antiqua" w:hAnsi="Book Antiqua"/>
          <w:lang w:val="en-US"/>
        </w:rPr>
        <w:tab/>
      </w:r>
      <w:r w:rsidRPr="00C91ECA">
        <w:rPr>
          <w:rFonts w:ascii="Book Antiqua" w:hAnsi="Book Antiqua"/>
          <w:lang w:val="en-US"/>
        </w:rPr>
        <w:t>The research method used is a quantitative method with a causality approach to test the relationship between asset management efficiency and profitability levels. Based on the analysis results, the activity ratios of PT Japfa Comfeed Indonesia Tbk show a fluctuating downward trend, which impacts a decrease in the company's profitability ratios. Nevertheless, in 2024, the company showed significant improvement across all profitability indicators. This indicates that efficient operational activity management has a positive impact on increasing company profitability.</w:t>
      </w:r>
    </w:p>
    <w:p w14:paraId="76CE428D" w14:textId="77777777" w:rsidR="009F4619" w:rsidRPr="000A1F91" w:rsidRDefault="009F4619" w:rsidP="000A1F91">
      <w:pPr>
        <w:jc w:val="both"/>
        <w:rPr>
          <w:rFonts w:ascii="Book Antiqua" w:hAnsi="Book Antiqua"/>
          <w:lang w:val="en-US"/>
        </w:rPr>
      </w:pPr>
    </w:p>
    <w:p w14:paraId="61DC1AE6" w14:textId="663DD0CE" w:rsidR="009F4619" w:rsidRPr="000A1F91" w:rsidRDefault="00011C07" w:rsidP="000A1F91">
      <w:pPr>
        <w:jc w:val="both"/>
        <w:rPr>
          <w:rFonts w:ascii="Book Antiqua" w:hAnsi="Book Antiqua"/>
          <w:lang w:val="en-US"/>
        </w:rPr>
      </w:pPr>
      <w:r w:rsidRPr="00011C07">
        <w:rPr>
          <w:rFonts w:ascii="Book Antiqua" w:hAnsi="Book Antiqua"/>
          <w:b/>
          <w:bCs/>
          <w:lang w:val="en-US"/>
        </w:rPr>
        <w:t>Keywords:</w:t>
      </w:r>
      <w:r w:rsidRPr="00011C07">
        <w:rPr>
          <w:rFonts w:ascii="Book Antiqua" w:hAnsi="Book Antiqua"/>
          <w:lang w:val="en-US"/>
        </w:rPr>
        <w:t xml:space="preserve"> Activity Ratio, Profitability, Financial Performance, Asset Efficiency, PT Japfa Comfeed Indonesia Tbk</w:t>
      </w:r>
    </w:p>
    <w:p w14:paraId="5400D72D" w14:textId="77777777" w:rsidR="009F4619" w:rsidRPr="000A1F91" w:rsidRDefault="009F4619" w:rsidP="000A1F91">
      <w:pPr>
        <w:jc w:val="both"/>
        <w:rPr>
          <w:rFonts w:ascii="Book Antiqua" w:hAnsi="Book Antiqua"/>
          <w:lang w:val="en-US"/>
        </w:rPr>
      </w:pPr>
    </w:p>
    <w:p w14:paraId="543DCE96" w14:textId="77777777" w:rsidR="00011C07" w:rsidRPr="00011C07" w:rsidRDefault="00011C07" w:rsidP="00011C07">
      <w:pPr>
        <w:jc w:val="both"/>
        <w:rPr>
          <w:rFonts w:ascii="Book Antiqua" w:hAnsi="Book Antiqua"/>
          <w:b/>
          <w:bCs/>
          <w:lang w:val="en-US"/>
        </w:rPr>
      </w:pPr>
      <w:r w:rsidRPr="00011C07">
        <w:rPr>
          <w:rFonts w:ascii="Book Antiqua" w:hAnsi="Book Antiqua"/>
          <w:b/>
          <w:bCs/>
          <w:lang w:val="en-US"/>
        </w:rPr>
        <w:t>Introduction</w:t>
      </w:r>
    </w:p>
    <w:p w14:paraId="738AACC6" w14:textId="45D06D99" w:rsidR="00011C07" w:rsidRPr="00011C07" w:rsidRDefault="00011C07" w:rsidP="00011C07">
      <w:pPr>
        <w:jc w:val="both"/>
        <w:rPr>
          <w:rFonts w:ascii="Book Antiqua" w:hAnsi="Book Antiqua"/>
          <w:lang w:val="en-US"/>
        </w:rPr>
      </w:pPr>
      <w:r>
        <w:rPr>
          <w:rFonts w:ascii="Book Antiqua" w:hAnsi="Book Antiqua"/>
          <w:lang w:val="en-US"/>
        </w:rPr>
        <w:tab/>
      </w:r>
      <w:r w:rsidRPr="00011C07">
        <w:rPr>
          <w:rFonts w:ascii="Book Antiqua" w:hAnsi="Book Antiqua"/>
          <w:lang w:val="en-US"/>
        </w:rPr>
        <w:t>PT Japfa Comfeed Indonesia Tbk is one of the largest agribusiness companies in Indonesia, operating in the fields of animal feed, breeding, and animal product processing. They are known as producers of the highest quality animal protein, serving Indonesia since 1975 with great dedication and becoming one of the nation's prides. As times change, the environment evolves, and competition in the business world intensifies, every company must be able to develop a work strategy to ensure its business's survival. One way is by keeping its financial performance stable. A company's financial performance is influenced by how efficiently management manages its assets and operational activities. Therefore, companies must always monitor their financial performance to prevent it from deteriorating.</w:t>
      </w:r>
    </w:p>
    <w:p w14:paraId="3BF1B25C" w14:textId="68094D9D" w:rsidR="00011C07" w:rsidRPr="00011C07" w:rsidRDefault="00011C07" w:rsidP="00011C07">
      <w:pPr>
        <w:jc w:val="both"/>
        <w:rPr>
          <w:rFonts w:ascii="Book Antiqua" w:hAnsi="Book Antiqua"/>
          <w:lang w:val="en-US"/>
        </w:rPr>
      </w:pPr>
      <w:r>
        <w:rPr>
          <w:rFonts w:ascii="Book Antiqua" w:hAnsi="Book Antiqua"/>
          <w:lang w:val="en-US"/>
        </w:rPr>
        <w:tab/>
      </w:r>
      <w:r w:rsidRPr="00011C07">
        <w:rPr>
          <w:rFonts w:ascii="Book Antiqua" w:hAnsi="Book Antiqua"/>
          <w:lang w:val="en-US"/>
        </w:rPr>
        <w:t xml:space="preserve">The evaluation of a company's financial performance can be seen from its financial statements. Financial statements are reports on the company's overall financial responsibility, prepared at the end of each period and used to determine the company's financial results. Financial analysis can be conducted using various </w:t>
      </w:r>
      <w:bookmarkStart w:id="0" w:name="_GoBack"/>
      <w:bookmarkEnd w:id="0"/>
      <w:r w:rsidRPr="00011C07">
        <w:rPr>
          <w:rFonts w:ascii="Book Antiqua" w:hAnsi="Book Antiqua"/>
          <w:lang w:val="en-US"/>
        </w:rPr>
        <w:lastRenderedPageBreak/>
        <w:t>financial ratios. Financial ratios are an important tool in financial analysis because they provide an overview of a company's financial condition over time. Some examples of financial ratios used include liquidity, activity, solvency, and profitability ratios.</w:t>
      </w:r>
    </w:p>
    <w:p w14:paraId="339B5DC0" w14:textId="47F3615E" w:rsidR="00011C07" w:rsidRPr="00011C07" w:rsidRDefault="00011C07" w:rsidP="00011C07">
      <w:pPr>
        <w:jc w:val="both"/>
        <w:rPr>
          <w:rFonts w:ascii="Book Antiqua" w:hAnsi="Book Antiqua"/>
          <w:lang w:val="en-US"/>
        </w:rPr>
      </w:pPr>
      <w:r>
        <w:rPr>
          <w:rFonts w:ascii="Book Antiqua" w:hAnsi="Book Antiqua"/>
          <w:lang w:val="en-US"/>
        </w:rPr>
        <w:tab/>
      </w:r>
      <w:r w:rsidRPr="00011C07">
        <w:rPr>
          <w:rFonts w:ascii="Book Antiqua" w:hAnsi="Book Antiqua"/>
          <w:lang w:val="en-US"/>
        </w:rPr>
        <w:t>The types of financial ratios used to assess a company's financial performance in this study are activity ratios and profitability ratios. Activity ratios are used to measure the company's efficiency in using its assets to generate sales. This ratio indicates how effectively management manages resources such as inventory, receivables, and fixed assets to ensure optimal turnover. Activity ratios include inventory turnover, receivables turnover, and total asset turnover. The higher the activity ratio value, the better the company is at utilizing its assets to increase revenue.</w:t>
      </w:r>
    </w:p>
    <w:p w14:paraId="4181660A" w14:textId="5EEB2B1D" w:rsidR="00011C07" w:rsidRPr="00011C07" w:rsidRDefault="00011C07" w:rsidP="00011C07">
      <w:pPr>
        <w:jc w:val="both"/>
        <w:rPr>
          <w:rFonts w:ascii="Book Antiqua" w:hAnsi="Book Antiqua"/>
          <w:lang w:val="en-US"/>
        </w:rPr>
      </w:pPr>
      <w:r>
        <w:rPr>
          <w:rFonts w:ascii="Book Antiqua" w:hAnsi="Book Antiqua"/>
          <w:lang w:val="en-US"/>
        </w:rPr>
        <w:tab/>
      </w:r>
      <w:r w:rsidRPr="00011C07">
        <w:rPr>
          <w:rFonts w:ascii="Book Antiqua" w:hAnsi="Book Antiqua"/>
          <w:lang w:val="en-US"/>
        </w:rPr>
        <w:t>Meanwhile, profitability ratios are used to measure a company's ability to generate profit from its operational activities over a specific period. This ratio provides an overview of how much profit the company earns compared to its sales, assets, and capital used. Profitability ratios include net profit margin (NPM), return on assets (ROA), and return on equity (ROE). High profitability ratio values indicate that the company is able to manage its assets and capital effectively to generate profits. Overall, activity and profitability ratios are interconnected, as efficiency in managing assets (activity) will have a positive impact on the company's ability to generate profits (profitability).</w:t>
      </w:r>
    </w:p>
    <w:p w14:paraId="1EDA5C81" w14:textId="7EE1DAD0" w:rsidR="00011C07" w:rsidRPr="00011C07" w:rsidRDefault="00011C07" w:rsidP="00011C07">
      <w:pPr>
        <w:jc w:val="both"/>
        <w:rPr>
          <w:rFonts w:ascii="Book Antiqua" w:hAnsi="Book Antiqua"/>
          <w:lang w:val="en-US"/>
        </w:rPr>
      </w:pPr>
      <w:r>
        <w:rPr>
          <w:rFonts w:ascii="Book Antiqua" w:hAnsi="Book Antiqua"/>
          <w:lang w:val="en-US"/>
        </w:rPr>
        <w:tab/>
      </w:r>
      <w:r w:rsidRPr="00011C07">
        <w:rPr>
          <w:rFonts w:ascii="Book Antiqua" w:hAnsi="Book Antiqua"/>
          <w:lang w:val="en-US"/>
        </w:rPr>
        <w:t>In the face of global economic challenges and market fluctuations, PT Japfa Comfeed Indonesia Tbk needs to ensure that every asset it owns can be utilized optimally to improve operational efficiency and company profitability. Good asset management will help the company reduce operational costs and increase production effectiveness. In other words, a company's ability to efficiently manage its asset turnover, receivables, and inventory will significantly impact its profitability. When activity ratios show high results, it reflects that the company is able to optimize the use of its assets to generate higher sales, thus increasing profitability.</w:t>
      </w:r>
    </w:p>
    <w:p w14:paraId="24E8956E" w14:textId="39945141" w:rsidR="00011C07" w:rsidRPr="00011C07" w:rsidRDefault="00011C07" w:rsidP="00011C07">
      <w:pPr>
        <w:jc w:val="both"/>
        <w:rPr>
          <w:rFonts w:ascii="Book Antiqua" w:hAnsi="Book Antiqua"/>
          <w:lang w:val="en-US"/>
        </w:rPr>
      </w:pPr>
      <w:r>
        <w:rPr>
          <w:rFonts w:ascii="Book Antiqua" w:hAnsi="Book Antiqua"/>
          <w:lang w:val="en-US"/>
        </w:rPr>
        <w:tab/>
      </w:r>
      <w:r w:rsidRPr="00011C07">
        <w:rPr>
          <w:rFonts w:ascii="Book Antiqua" w:hAnsi="Book Antiqua"/>
          <w:lang w:val="en-US"/>
        </w:rPr>
        <w:t>This research is important because it can provide insight into the extent to which activity ratios influence a company's profitability level. The results of this research are expected to assist the management of PT Japfa Comfeed Indonesia Tbk in making strategic decisions regarding asset and operational management to improve efficiency. Additionally, this research is also expected to contribute to academics and investors in understanding the relationship between company activity efficiency and profitability. Thus, analyzing activity and profitability ratios is not only a tool for assessing financial performance, but also serves as a basis for sustainable business planning and decision-making.</w:t>
      </w:r>
    </w:p>
    <w:p w14:paraId="1BAE271E" w14:textId="77777777" w:rsidR="007E0AE8" w:rsidRPr="000A1F91" w:rsidRDefault="007E0AE8" w:rsidP="000A1F91">
      <w:pPr>
        <w:jc w:val="both"/>
        <w:rPr>
          <w:rFonts w:ascii="Book Antiqua" w:hAnsi="Book Antiqua"/>
          <w:lang w:val="en-US"/>
        </w:rPr>
      </w:pPr>
    </w:p>
    <w:p w14:paraId="031F70A3" w14:textId="5B43A2B1" w:rsidR="007E0AE8" w:rsidRPr="000A1F91" w:rsidRDefault="005408A7" w:rsidP="000A1F91">
      <w:pPr>
        <w:jc w:val="both"/>
        <w:rPr>
          <w:rFonts w:ascii="Book Antiqua" w:hAnsi="Book Antiqua"/>
          <w:b/>
          <w:bCs/>
          <w:lang w:val="en-US"/>
        </w:rPr>
      </w:pPr>
      <w:r w:rsidRPr="005408A7">
        <w:rPr>
          <w:rFonts w:ascii="Book Antiqua" w:hAnsi="Book Antiqua"/>
          <w:b/>
          <w:bCs/>
          <w:lang w:val="en-US"/>
        </w:rPr>
        <w:t>Theoretical Framework</w:t>
      </w:r>
    </w:p>
    <w:p w14:paraId="321E3625" w14:textId="78580A4D" w:rsidR="005408A7" w:rsidRPr="005408A7" w:rsidRDefault="005408A7" w:rsidP="005408A7">
      <w:pPr>
        <w:jc w:val="both"/>
        <w:rPr>
          <w:rFonts w:ascii="Book Antiqua" w:hAnsi="Book Antiqua"/>
          <w:lang w:val="en-US"/>
        </w:rPr>
      </w:pPr>
      <w:r>
        <w:rPr>
          <w:rFonts w:ascii="Book Antiqua" w:hAnsi="Book Antiqua"/>
          <w:lang w:val="en-US"/>
        </w:rPr>
        <w:tab/>
      </w:r>
      <w:r w:rsidRPr="005408A7">
        <w:rPr>
          <w:rFonts w:ascii="Book Antiqua" w:hAnsi="Book Antiqua"/>
          <w:lang w:val="en-US"/>
        </w:rPr>
        <w:t xml:space="preserve">This research is based on the fundamental concepts of activity and profitability ratios, which are interconnected in measuring a company's financial performance. According to Kasmir (2019), activity ratios are a measure of a company's effectiveness in utilizing its assets to generate sales and revenue. Activity ratios encompass various important indicators such as Cash Turnover (CTO), Receivable Turnover Ratio, </w:t>
      </w:r>
      <w:r w:rsidRPr="005408A7">
        <w:rPr>
          <w:rFonts w:ascii="Book Antiqua" w:hAnsi="Book Antiqua"/>
          <w:lang w:val="en-US"/>
        </w:rPr>
        <w:lastRenderedPageBreak/>
        <w:t>Inventory Turnover Ratio, and Total Asset Turnover. The higher the value of the activity ratio, especially CTO, the better the company's ability to efficiently manage its current assets, ensuring smooth operational cash flow without liquidity constraints. This is supported by the theory that good and efficient asset management will positively impact financial performance by increasing sales volume and reducing operating costs.</w:t>
      </w:r>
    </w:p>
    <w:p w14:paraId="1A6F5475" w14:textId="4CC54049" w:rsidR="005408A7" w:rsidRPr="005408A7" w:rsidRDefault="005408A7" w:rsidP="005408A7">
      <w:pPr>
        <w:jc w:val="both"/>
        <w:rPr>
          <w:rFonts w:ascii="Book Antiqua" w:hAnsi="Book Antiqua"/>
          <w:lang w:val="en-US"/>
        </w:rPr>
      </w:pPr>
      <w:r>
        <w:rPr>
          <w:rFonts w:ascii="Book Antiqua" w:hAnsi="Book Antiqua"/>
          <w:lang w:val="en-US"/>
        </w:rPr>
        <w:tab/>
      </w:r>
      <w:r w:rsidRPr="005408A7">
        <w:rPr>
          <w:rFonts w:ascii="Book Antiqua" w:hAnsi="Book Antiqua"/>
          <w:lang w:val="en-US"/>
        </w:rPr>
        <w:t>According to Harahap (2020), profitability is a company's ability to generate profit over a specific period. Commonly used profitability ratios include Gross Profit Margin (GPM), Net Profit Margin (NPM), Return on Assets (ROA), and Return on Equity (ROE). GPM indicates how effectively a company controls production costs and earns a profit margin from sales. ROA measures a company's ability to generate profit from each dollar of assets it owns, while ROE measures the return on capital invested by shareholders. Financial management theory explains that a high level of profitability reflects the optimal utilization of existing resources and effective management within a company.</w:t>
      </w:r>
    </w:p>
    <w:p w14:paraId="5BDF0B50" w14:textId="463FFE25" w:rsidR="005408A7" w:rsidRPr="000A1F91" w:rsidRDefault="005408A7" w:rsidP="005408A7">
      <w:pPr>
        <w:jc w:val="both"/>
        <w:rPr>
          <w:rFonts w:ascii="Book Antiqua" w:hAnsi="Book Antiqua"/>
          <w:lang w:val="en-US"/>
        </w:rPr>
      </w:pPr>
      <w:r>
        <w:rPr>
          <w:rFonts w:ascii="Book Antiqua" w:hAnsi="Book Antiqua"/>
          <w:lang w:val="en-US"/>
        </w:rPr>
        <w:tab/>
      </w:r>
      <w:r w:rsidRPr="005408A7">
        <w:rPr>
          <w:rFonts w:ascii="Book Antiqua" w:hAnsi="Book Antiqua"/>
          <w:lang w:val="en-US"/>
        </w:rPr>
        <w:t>Activity and profitability ratios have a positive relationship in asset management, as a high activity ratio allows companies to optimize sales and reduce operating costs, which in turn increases profitability. This model of the influence of activity ratios on profitability can be explained using a causality approach, where an increase in activity ratios (such as cash, receivables, and inventory turnover) is expected to contribute to an increase in profit margins (such as GPM, NPM) and the rate of return on assets/capital (ROA, ROE). Therefore, this study uses a theoretical framework that combines financial ratio analysis to measure asset management effectiveness and its impact on company profitability, which underlies the hypothesis that activity ratios significantly influence the profitability of PT Japfa Comfeed Indonesia Tbk.</w:t>
      </w:r>
    </w:p>
    <w:p w14:paraId="26F255CD" w14:textId="77777777" w:rsidR="007E0AE8" w:rsidRPr="000A1F91" w:rsidRDefault="007E0AE8" w:rsidP="000A1F91">
      <w:pPr>
        <w:jc w:val="both"/>
        <w:rPr>
          <w:rFonts w:ascii="Book Antiqua" w:hAnsi="Book Antiqua"/>
          <w:lang w:val="en-US"/>
        </w:rPr>
      </w:pPr>
    </w:p>
    <w:p w14:paraId="39D26C1F" w14:textId="715FAACE" w:rsidR="007E0AE8" w:rsidRPr="000A1F91" w:rsidRDefault="005408A7" w:rsidP="000A1F91">
      <w:pPr>
        <w:jc w:val="both"/>
        <w:rPr>
          <w:rFonts w:ascii="Book Antiqua" w:hAnsi="Book Antiqua"/>
          <w:b/>
          <w:bCs/>
          <w:lang w:val="en-US"/>
        </w:rPr>
      </w:pPr>
      <w:r w:rsidRPr="005408A7">
        <w:rPr>
          <w:rFonts w:ascii="Book Antiqua" w:hAnsi="Book Antiqua"/>
          <w:b/>
          <w:bCs/>
          <w:lang w:val="en-US"/>
        </w:rPr>
        <w:t>Method</w:t>
      </w:r>
    </w:p>
    <w:p w14:paraId="2FC6F0BB" w14:textId="3544CBCA" w:rsidR="005408A7" w:rsidRPr="005408A7" w:rsidRDefault="005408A7" w:rsidP="005408A7">
      <w:pPr>
        <w:jc w:val="both"/>
        <w:rPr>
          <w:rFonts w:ascii="Book Antiqua" w:eastAsiaTheme="minorEastAsia" w:hAnsi="Book Antiqua" w:cs="Segoe UI"/>
          <w:spacing w:val="2"/>
          <w:lang w:eastAsia="zh-CN"/>
        </w:rPr>
      </w:pPr>
      <w:r>
        <w:rPr>
          <w:rFonts w:ascii="Book Antiqua" w:eastAsiaTheme="minorEastAsia" w:hAnsi="Book Antiqua" w:cs="Segoe UI"/>
          <w:spacing w:val="2"/>
          <w:lang w:eastAsia="zh-CN"/>
        </w:rPr>
        <w:tab/>
      </w:r>
      <w:r w:rsidRPr="005408A7">
        <w:rPr>
          <w:rFonts w:ascii="Book Antiqua" w:eastAsiaTheme="minorEastAsia" w:hAnsi="Book Antiqua" w:cs="Segoe UI"/>
          <w:spacing w:val="2"/>
          <w:lang w:eastAsia="zh-CN"/>
        </w:rPr>
        <w:t>The research method used in this study is quantitative because the main focus of this research is on numerical financial data, namely analyzing activity and profitability ratios. This study uses a causality approach to test the hypothesis that Activity Ratios (independent variable) have a significant influence on the level of Profitability (dependent variable). The aim is to determine the extent to which asset management efficiency (measured by activity ratios) impacts a company's ability to generate profits (profitability). The analysis method used is statistical analysis to measure and prove this causal relationship.</w:t>
      </w:r>
    </w:p>
    <w:p w14:paraId="2E93111D" w14:textId="6FD3D89F" w:rsidR="005408A7" w:rsidRPr="000A1F91" w:rsidRDefault="005408A7" w:rsidP="005408A7">
      <w:pPr>
        <w:jc w:val="both"/>
        <w:rPr>
          <w:rFonts w:ascii="Book Antiqua" w:hAnsi="Book Antiqua" w:cs="Segoe UI"/>
          <w:spacing w:val="2"/>
        </w:rPr>
      </w:pPr>
      <w:r>
        <w:rPr>
          <w:rFonts w:ascii="Book Antiqua" w:eastAsiaTheme="minorEastAsia" w:hAnsi="Book Antiqua" w:cs="Segoe UI"/>
          <w:spacing w:val="2"/>
          <w:lang w:eastAsia="zh-CN"/>
        </w:rPr>
        <w:tab/>
      </w:r>
      <w:r w:rsidRPr="005408A7">
        <w:rPr>
          <w:rFonts w:ascii="Book Antiqua" w:eastAsiaTheme="minorEastAsia" w:hAnsi="Book Antiqua" w:cs="Segoe UI"/>
          <w:spacing w:val="2"/>
          <w:lang w:eastAsia="zh-CN"/>
        </w:rPr>
        <w:t xml:space="preserve">The data used in this study is secondary data in the form of financial statements from PT Japfa Comfeed Indonesia Tbk for the period 2015-2024, obtained from the company's official website at </w:t>
      </w:r>
      <w:hyperlink r:id="rId9" w:history="1">
        <w:r w:rsidRPr="00833319">
          <w:rPr>
            <w:rStyle w:val="Hyperlink"/>
            <w:rFonts w:ascii="Book Antiqua" w:eastAsiaTheme="minorEastAsia" w:hAnsi="Book Antiqua" w:cs="Segoe UI"/>
            <w:spacing w:val="2"/>
            <w:lang w:eastAsia="zh-CN"/>
          </w:rPr>
          <w:t>https://www.japfacomfeed.co.id/laporan-tahunan</w:t>
        </w:r>
      </w:hyperlink>
      <w:r>
        <w:rPr>
          <w:rFonts w:ascii="Book Antiqua" w:eastAsiaTheme="minorEastAsia" w:hAnsi="Book Antiqua" w:cs="Segoe UI"/>
          <w:spacing w:val="2"/>
          <w:lang w:val="en-US" w:eastAsia="zh-CN"/>
        </w:rPr>
        <w:t xml:space="preserve"> </w:t>
      </w:r>
      <w:r w:rsidRPr="005408A7">
        <w:rPr>
          <w:rFonts w:ascii="Book Antiqua" w:eastAsiaTheme="minorEastAsia" w:hAnsi="Book Antiqua" w:cs="Segoe UI"/>
          <w:spacing w:val="2"/>
          <w:lang w:eastAsia="zh-CN"/>
        </w:rPr>
        <w:t>, and then processed in Excel format. Thus, this research can provide a clear picture of the effectiveness of asset management in increasing company profits.</w:t>
      </w:r>
    </w:p>
    <w:p w14:paraId="4E015C18" w14:textId="07BA11F1" w:rsidR="004138A5" w:rsidRPr="005408A7" w:rsidRDefault="004138A5" w:rsidP="000A1F91">
      <w:pPr>
        <w:jc w:val="both"/>
        <w:rPr>
          <w:rFonts w:ascii="Book Antiqua" w:eastAsiaTheme="minorEastAsia" w:hAnsi="Book Antiqua"/>
          <w:lang w:val="en-US" w:eastAsia="zh-CN"/>
        </w:rPr>
      </w:pPr>
    </w:p>
    <w:p w14:paraId="1738DF97" w14:textId="77777777" w:rsidR="007E0AE8" w:rsidRPr="000A1F91" w:rsidRDefault="007E0AE8" w:rsidP="000A1F91">
      <w:pPr>
        <w:jc w:val="both"/>
        <w:rPr>
          <w:rFonts w:ascii="Book Antiqua" w:hAnsi="Book Antiqua"/>
          <w:lang w:val="en-US"/>
        </w:rPr>
      </w:pPr>
    </w:p>
    <w:p w14:paraId="7BE65F1F" w14:textId="3F1B23F2" w:rsidR="007E0AE8" w:rsidRPr="000A1F91" w:rsidRDefault="003E3830" w:rsidP="000A1F91">
      <w:pPr>
        <w:jc w:val="both"/>
        <w:rPr>
          <w:rFonts w:ascii="Book Antiqua" w:hAnsi="Book Antiqua"/>
          <w:b/>
          <w:bCs/>
          <w:lang w:val="en-US"/>
        </w:rPr>
      </w:pPr>
      <w:r w:rsidRPr="003E3830">
        <w:rPr>
          <w:rFonts w:ascii="Book Antiqua" w:hAnsi="Book Antiqua"/>
          <w:b/>
          <w:bCs/>
          <w:lang w:val="en-US"/>
        </w:rPr>
        <w:t>Results and Discussion</w:t>
      </w:r>
    </w:p>
    <w:p w14:paraId="03F6ED5A" w14:textId="7C83FDFA" w:rsidR="007E0AE8" w:rsidRPr="000A1F91" w:rsidRDefault="003E3830" w:rsidP="000A1F91">
      <w:pPr>
        <w:jc w:val="both"/>
        <w:rPr>
          <w:rFonts w:ascii="Book Antiqua" w:hAnsi="Book Antiqua"/>
          <w:b/>
          <w:bCs/>
          <w:lang w:val="en-US"/>
        </w:rPr>
      </w:pPr>
      <w:r w:rsidRPr="003E3830">
        <w:rPr>
          <w:rFonts w:ascii="Book Antiqua" w:hAnsi="Book Antiqua"/>
          <w:b/>
          <w:bCs/>
          <w:lang w:val="en-US"/>
        </w:rPr>
        <w:lastRenderedPageBreak/>
        <w:t>Results of Activity Ratio Calculation</w:t>
      </w:r>
    </w:p>
    <w:p w14:paraId="2FEF0185" w14:textId="7F1A07A1" w:rsidR="00662B11" w:rsidRPr="000A1F91" w:rsidRDefault="00662B11" w:rsidP="000A1F91">
      <w:pPr>
        <w:jc w:val="both"/>
        <w:rPr>
          <w:rFonts w:ascii="Book Antiqua" w:hAnsi="Book Antiqua"/>
          <w:lang w:val="en-US"/>
        </w:rPr>
      </w:pPr>
    </w:p>
    <w:p w14:paraId="24A3B429" w14:textId="3F489E97" w:rsidR="00662B11" w:rsidRPr="000A1F91" w:rsidRDefault="008B1C81" w:rsidP="000A1F91">
      <w:pPr>
        <w:pStyle w:val="Caption"/>
        <w:jc w:val="center"/>
        <w:rPr>
          <w:rFonts w:ascii="Book Antiqua" w:hAnsi="Book Antiqua"/>
          <w:b/>
          <w:bCs/>
          <w:i w:val="0"/>
          <w:iCs w:val="0"/>
          <w:color w:val="auto"/>
          <w:sz w:val="24"/>
          <w:szCs w:val="24"/>
          <w:lang w:val="en-US"/>
        </w:rPr>
      </w:pPr>
      <w:r w:rsidRPr="000A1F91">
        <w:rPr>
          <w:rFonts w:ascii="Book Antiqua" w:hAnsi="Book Antiqua"/>
          <w:b/>
          <w:bCs/>
          <w:i w:val="0"/>
          <w:iCs w:val="0"/>
          <w:color w:val="auto"/>
          <w:sz w:val="24"/>
          <w:szCs w:val="24"/>
        </w:rPr>
        <w:t xml:space="preserve">Table </w:t>
      </w:r>
      <w:r w:rsidRPr="000A1F91">
        <w:rPr>
          <w:rFonts w:ascii="Book Antiqua" w:hAnsi="Book Antiqua"/>
          <w:b/>
          <w:bCs/>
          <w:i w:val="0"/>
          <w:iCs w:val="0"/>
          <w:color w:val="auto"/>
          <w:sz w:val="24"/>
          <w:szCs w:val="24"/>
        </w:rPr>
        <w:fldChar w:fldCharType="begin"/>
      </w:r>
      <w:r w:rsidRPr="000A1F91">
        <w:rPr>
          <w:rFonts w:ascii="Book Antiqua" w:hAnsi="Book Antiqua"/>
          <w:b/>
          <w:bCs/>
          <w:i w:val="0"/>
          <w:iCs w:val="0"/>
          <w:color w:val="auto"/>
          <w:sz w:val="24"/>
          <w:szCs w:val="24"/>
        </w:rPr>
        <w:instrText xml:space="preserve"> SEQ Table \* ARABIC </w:instrText>
      </w:r>
      <w:r w:rsidRPr="000A1F91">
        <w:rPr>
          <w:rFonts w:ascii="Book Antiqua" w:hAnsi="Book Antiqua"/>
          <w:b/>
          <w:bCs/>
          <w:i w:val="0"/>
          <w:iCs w:val="0"/>
          <w:color w:val="auto"/>
          <w:sz w:val="24"/>
          <w:szCs w:val="24"/>
        </w:rPr>
        <w:fldChar w:fldCharType="separate"/>
      </w:r>
      <w:r w:rsidR="00547509" w:rsidRPr="000A1F91">
        <w:rPr>
          <w:rFonts w:ascii="Book Antiqua" w:hAnsi="Book Antiqua"/>
          <w:b/>
          <w:bCs/>
          <w:i w:val="0"/>
          <w:iCs w:val="0"/>
          <w:noProof/>
          <w:color w:val="auto"/>
          <w:sz w:val="24"/>
          <w:szCs w:val="24"/>
        </w:rPr>
        <w:t>1</w:t>
      </w:r>
      <w:r w:rsidRPr="000A1F91">
        <w:rPr>
          <w:rFonts w:ascii="Book Antiqua" w:hAnsi="Book Antiqua"/>
          <w:b/>
          <w:bCs/>
          <w:i w:val="0"/>
          <w:iCs w:val="0"/>
          <w:color w:val="auto"/>
          <w:sz w:val="24"/>
          <w:szCs w:val="24"/>
        </w:rPr>
        <w:fldChar w:fldCharType="end"/>
      </w:r>
      <w:r w:rsidRPr="000A1F91">
        <w:rPr>
          <w:rFonts w:ascii="Book Antiqua" w:hAnsi="Book Antiqua"/>
          <w:b/>
          <w:bCs/>
          <w:i w:val="0"/>
          <w:iCs w:val="0"/>
          <w:color w:val="auto"/>
          <w:sz w:val="24"/>
          <w:szCs w:val="24"/>
          <w:lang w:val="en-US"/>
        </w:rPr>
        <w:t xml:space="preserve">. </w:t>
      </w:r>
      <w:r w:rsidR="003E3830" w:rsidRPr="003E3830">
        <w:rPr>
          <w:rFonts w:ascii="Book Antiqua" w:hAnsi="Book Antiqua"/>
          <w:b/>
          <w:bCs/>
          <w:i w:val="0"/>
          <w:iCs w:val="0"/>
          <w:color w:val="auto"/>
          <w:sz w:val="24"/>
          <w:szCs w:val="24"/>
          <w:lang w:val="en-US"/>
        </w:rPr>
        <w:t>Results of Activity Ratio Calculations</w:t>
      </w:r>
    </w:p>
    <w:p w14:paraId="6DF3B5F4" w14:textId="36AA0768" w:rsidR="007576BD" w:rsidRPr="000A1F91" w:rsidRDefault="007576BD" w:rsidP="000A1F91">
      <w:pPr>
        <w:jc w:val="both"/>
        <w:rPr>
          <w:rFonts w:ascii="Book Antiqua" w:hAnsi="Book Antiqua"/>
          <w:lang w:val="en-US"/>
        </w:rPr>
      </w:pPr>
      <w:r w:rsidRPr="000A1F91">
        <w:rPr>
          <w:rFonts w:ascii="Book Antiqua" w:hAnsi="Book Antiqua"/>
          <w:noProof/>
          <w:lang w:val="en-US"/>
        </w:rPr>
        <w:drawing>
          <wp:anchor distT="0" distB="0" distL="114300" distR="114300" simplePos="0" relativeHeight="251658240" behindDoc="0" locked="0" layoutInCell="1" allowOverlap="1" wp14:anchorId="5DFCC8EE" wp14:editId="33EB021D">
            <wp:simplePos x="0" y="0"/>
            <wp:positionH relativeFrom="margin">
              <wp:align>right</wp:align>
            </wp:positionH>
            <wp:positionV relativeFrom="paragraph">
              <wp:posOffset>6985</wp:posOffset>
            </wp:positionV>
            <wp:extent cx="5731510" cy="1691005"/>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691005"/>
                    </a:xfrm>
                    <a:prstGeom prst="rect">
                      <a:avLst/>
                    </a:prstGeom>
                  </pic:spPr>
                </pic:pic>
              </a:graphicData>
            </a:graphic>
            <wp14:sizeRelH relativeFrom="margin">
              <wp14:pctWidth>0</wp14:pctWidth>
            </wp14:sizeRelH>
            <wp14:sizeRelV relativeFrom="margin">
              <wp14:pctHeight>0</wp14:pctHeight>
            </wp14:sizeRelV>
          </wp:anchor>
        </w:drawing>
      </w:r>
    </w:p>
    <w:p w14:paraId="21DC5090" w14:textId="1C0B6581" w:rsidR="007576BD" w:rsidRPr="000A1F91" w:rsidRDefault="007576BD" w:rsidP="000A1F91">
      <w:pPr>
        <w:jc w:val="both"/>
        <w:rPr>
          <w:rFonts w:ascii="Book Antiqua" w:hAnsi="Book Antiqua"/>
          <w:lang w:val="en-US"/>
        </w:rPr>
      </w:pPr>
    </w:p>
    <w:p w14:paraId="7C41BA62" w14:textId="60621A45" w:rsidR="007576BD" w:rsidRPr="000A1F91" w:rsidRDefault="007576BD" w:rsidP="000A1F91">
      <w:pPr>
        <w:jc w:val="both"/>
        <w:rPr>
          <w:rFonts w:ascii="Book Antiqua" w:hAnsi="Book Antiqua"/>
          <w:lang w:val="en-US"/>
        </w:rPr>
      </w:pPr>
    </w:p>
    <w:p w14:paraId="6E0717A6" w14:textId="21233524" w:rsidR="007576BD" w:rsidRPr="000A1F91" w:rsidRDefault="007576BD" w:rsidP="000A1F91">
      <w:pPr>
        <w:jc w:val="both"/>
        <w:rPr>
          <w:rFonts w:ascii="Book Antiqua" w:hAnsi="Book Antiqua"/>
          <w:lang w:val="en-US"/>
        </w:rPr>
      </w:pPr>
    </w:p>
    <w:p w14:paraId="5EBA726E" w14:textId="0FBB1735" w:rsidR="007576BD" w:rsidRPr="000A1F91" w:rsidRDefault="007576BD" w:rsidP="000A1F91">
      <w:pPr>
        <w:jc w:val="both"/>
        <w:rPr>
          <w:rFonts w:ascii="Book Antiqua" w:hAnsi="Book Antiqua"/>
          <w:lang w:val="en-US"/>
        </w:rPr>
      </w:pPr>
    </w:p>
    <w:p w14:paraId="64860710" w14:textId="04C9EEB2" w:rsidR="007576BD" w:rsidRPr="000A1F91" w:rsidRDefault="007576BD" w:rsidP="000A1F91">
      <w:pPr>
        <w:jc w:val="both"/>
        <w:rPr>
          <w:rFonts w:ascii="Book Antiqua" w:hAnsi="Book Antiqua"/>
          <w:lang w:val="en-US"/>
        </w:rPr>
      </w:pPr>
    </w:p>
    <w:p w14:paraId="51D6DC22" w14:textId="7F4FC0A4" w:rsidR="007576BD" w:rsidRPr="000A1F91" w:rsidRDefault="007576BD" w:rsidP="000A1F91">
      <w:pPr>
        <w:jc w:val="both"/>
        <w:rPr>
          <w:rFonts w:ascii="Book Antiqua" w:hAnsi="Book Antiqua"/>
          <w:lang w:val="en-US"/>
        </w:rPr>
      </w:pPr>
    </w:p>
    <w:p w14:paraId="22785A65" w14:textId="7E309A85" w:rsidR="007576BD" w:rsidRPr="000A1F91" w:rsidRDefault="007576BD" w:rsidP="000A1F91">
      <w:pPr>
        <w:jc w:val="both"/>
        <w:rPr>
          <w:rFonts w:ascii="Book Antiqua" w:hAnsi="Book Antiqua"/>
          <w:lang w:val="en-US"/>
        </w:rPr>
      </w:pPr>
    </w:p>
    <w:p w14:paraId="68A7D32F" w14:textId="0D9B3E44" w:rsidR="003E3830" w:rsidRPr="003E3830" w:rsidRDefault="003E3830" w:rsidP="003E3830">
      <w:pPr>
        <w:jc w:val="both"/>
        <w:rPr>
          <w:rFonts w:ascii="Book Antiqua" w:hAnsi="Book Antiqua"/>
          <w:lang w:val="en-US"/>
        </w:rPr>
      </w:pPr>
      <w:bookmarkStart w:id="1" w:name="_Hlk212732745"/>
    </w:p>
    <w:p w14:paraId="426416CB" w14:textId="43E863E3" w:rsidR="003E3830" w:rsidRDefault="008D68C3" w:rsidP="003E3830">
      <w:pPr>
        <w:jc w:val="both"/>
        <w:rPr>
          <w:rFonts w:ascii="Book Antiqua" w:hAnsi="Book Antiqua"/>
          <w:lang w:val="en-US"/>
        </w:rPr>
      </w:pPr>
      <w:r>
        <w:rPr>
          <w:rFonts w:ascii="Book Antiqua" w:hAnsi="Book Antiqua"/>
          <w:lang w:val="en-US"/>
        </w:rPr>
        <w:tab/>
      </w:r>
      <w:r w:rsidR="003E3830" w:rsidRPr="003E3830">
        <w:rPr>
          <w:rFonts w:ascii="Book Antiqua" w:hAnsi="Book Antiqua"/>
          <w:lang w:val="en-US"/>
        </w:rPr>
        <w:t>Based on the results of activity ratio calculations for PT Japfa Comfeed Indonesia Tbk during the period 2015–2024, it can be seen that:</w:t>
      </w:r>
    </w:p>
    <w:p w14:paraId="52ED085D" w14:textId="77777777" w:rsidR="003E3830" w:rsidRDefault="003E3830" w:rsidP="003E3830">
      <w:pPr>
        <w:pStyle w:val="ListParagraph"/>
        <w:jc w:val="both"/>
        <w:rPr>
          <w:rFonts w:ascii="Book Antiqua" w:hAnsi="Book Antiqua"/>
          <w:lang w:val="en-US"/>
        </w:rPr>
      </w:pPr>
    </w:p>
    <w:p w14:paraId="0365374C" w14:textId="77777777" w:rsidR="003E3830" w:rsidRPr="003E3830" w:rsidRDefault="003E3830" w:rsidP="003E3830">
      <w:pPr>
        <w:pStyle w:val="ListParagraph"/>
        <w:numPr>
          <w:ilvl w:val="0"/>
          <w:numId w:val="10"/>
        </w:numPr>
        <w:jc w:val="both"/>
        <w:rPr>
          <w:rFonts w:ascii="Book Antiqua" w:hAnsi="Book Antiqua"/>
          <w:b/>
          <w:bCs/>
          <w:lang w:val="en-US"/>
        </w:rPr>
      </w:pPr>
      <w:r w:rsidRPr="003E3830">
        <w:rPr>
          <w:rFonts w:ascii="Book Antiqua" w:hAnsi="Book Antiqua"/>
          <w:b/>
          <w:bCs/>
          <w:lang w:val="en-US"/>
        </w:rPr>
        <w:t>Cash Turn Over (CTO)</w:t>
      </w:r>
    </w:p>
    <w:p w14:paraId="3C93905A" w14:textId="2F0B2B05" w:rsidR="003E3830" w:rsidRDefault="003E3830" w:rsidP="003E3830">
      <w:pPr>
        <w:pStyle w:val="ListParagraph"/>
        <w:jc w:val="both"/>
        <w:rPr>
          <w:rFonts w:ascii="Book Antiqua" w:hAnsi="Book Antiqua"/>
          <w:lang w:val="en-US"/>
        </w:rPr>
      </w:pPr>
      <w:r>
        <w:rPr>
          <w:rFonts w:ascii="Book Antiqua" w:hAnsi="Book Antiqua"/>
          <w:lang w:val="en-US"/>
        </w:rPr>
        <w:tab/>
      </w:r>
      <w:r w:rsidRPr="003E3830">
        <w:rPr>
          <w:rFonts w:ascii="Book Antiqua" w:hAnsi="Book Antiqua"/>
          <w:lang w:val="en-US"/>
        </w:rPr>
        <w:t>Cash Turn Over</w:t>
      </w:r>
      <w:r>
        <w:rPr>
          <w:rFonts w:ascii="Book Antiqua" w:hAnsi="Book Antiqua"/>
          <w:lang w:val="en-US"/>
        </w:rPr>
        <w:t xml:space="preserve"> (</w:t>
      </w:r>
      <w:r w:rsidRPr="003E3830">
        <w:rPr>
          <w:rFonts w:ascii="Book Antiqua" w:hAnsi="Book Antiqua"/>
          <w:lang w:val="en-US"/>
        </w:rPr>
        <w:t>CTO) of PT Japfa Comfeed Indonesia Tbk shows significant fluctuations and tends to decrease year by year. In 2015, the CTO value was still positive at 64.65%, indicating that the company was able to effectively utilize its cash and marketable securities to support sales activities. However, from 2016 to 2024, the CTO value continued to decline sharply, reaching –166.35% in 2024, with an average of –128.69%. This condition indicates that the company's cash management efficiency is decreasing, meaning that cash funds are not optimally circulating to generate revenue. The average cash age during this period also tends to increase, indicating a slowdown in the company's cash cycle.</w:t>
      </w:r>
    </w:p>
    <w:p w14:paraId="5A7E3DF9" w14:textId="77777777" w:rsidR="003E3830" w:rsidRDefault="003E3830" w:rsidP="003E3830">
      <w:pPr>
        <w:pStyle w:val="ListParagraph"/>
        <w:jc w:val="both"/>
        <w:rPr>
          <w:rFonts w:ascii="Book Antiqua" w:hAnsi="Book Antiqua"/>
          <w:lang w:val="en-US"/>
        </w:rPr>
      </w:pPr>
    </w:p>
    <w:p w14:paraId="5F3FBDDE" w14:textId="77777777" w:rsidR="003E3830" w:rsidRPr="003E3830" w:rsidRDefault="003E3830" w:rsidP="003E3830">
      <w:pPr>
        <w:pStyle w:val="ListParagraph"/>
        <w:numPr>
          <w:ilvl w:val="0"/>
          <w:numId w:val="10"/>
        </w:numPr>
        <w:jc w:val="both"/>
        <w:rPr>
          <w:rFonts w:ascii="Book Antiqua" w:hAnsi="Book Antiqua"/>
          <w:b/>
          <w:bCs/>
          <w:lang w:val="en-US"/>
        </w:rPr>
      </w:pPr>
      <w:r w:rsidRPr="003E3830">
        <w:rPr>
          <w:rFonts w:ascii="Book Antiqua" w:hAnsi="Book Antiqua"/>
          <w:b/>
          <w:bCs/>
          <w:lang w:val="en-US"/>
        </w:rPr>
        <w:t>Receivable Turnover (RTO)</w:t>
      </w:r>
    </w:p>
    <w:p w14:paraId="02385B9F" w14:textId="31BBC9FA" w:rsidR="003E3830" w:rsidRDefault="003E3830" w:rsidP="003E3830">
      <w:pPr>
        <w:pStyle w:val="ListParagraph"/>
        <w:jc w:val="both"/>
        <w:rPr>
          <w:rFonts w:ascii="Book Antiqua" w:hAnsi="Book Antiqua"/>
          <w:lang w:val="en-US"/>
        </w:rPr>
      </w:pPr>
      <w:r>
        <w:rPr>
          <w:rFonts w:ascii="Book Antiqua" w:hAnsi="Book Antiqua"/>
          <w:lang w:val="en-US"/>
        </w:rPr>
        <w:tab/>
      </w:r>
      <w:r w:rsidRPr="003E3830">
        <w:rPr>
          <w:rFonts w:ascii="Book Antiqua" w:hAnsi="Book Antiqua"/>
          <w:lang w:val="en-US"/>
        </w:rPr>
        <w:t>Receivable Turnover (RTO) shows a significant downward trend. In 2015, the RTO ratio was 47.05%, but it continued to decline to -81.55% in 2024, with an average of -70.87%. This decline indicates that the company's speed in collecting receivables from customers is slowing down, which could impact the company's liquidity. The average age of receivables also increased to around 60 days, indicating that the company is taking longer to convert receivables into cash, thus increasing the potential for funds to be tied up in receivables.</w:t>
      </w:r>
    </w:p>
    <w:p w14:paraId="0C403EBC" w14:textId="77777777" w:rsidR="003E3830" w:rsidRDefault="003E3830" w:rsidP="003E3830">
      <w:pPr>
        <w:pStyle w:val="ListParagraph"/>
        <w:jc w:val="both"/>
        <w:rPr>
          <w:rFonts w:ascii="Book Antiqua" w:hAnsi="Book Antiqua"/>
          <w:lang w:val="en-US"/>
        </w:rPr>
      </w:pPr>
    </w:p>
    <w:p w14:paraId="6B6E11DA" w14:textId="77777777" w:rsidR="003E3830" w:rsidRPr="003E3830" w:rsidRDefault="003E3830" w:rsidP="003E3830">
      <w:pPr>
        <w:pStyle w:val="ListParagraph"/>
        <w:numPr>
          <w:ilvl w:val="0"/>
          <w:numId w:val="10"/>
        </w:numPr>
        <w:jc w:val="both"/>
        <w:rPr>
          <w:rFonts w:ascii="Book Antiqua" w:hAnsi="Book Antiqua"/>
          <w:b/>
          <w:bCs/>
          <w:lang w:val="en-US"/>
        </w:rPr>
      </w:pPr>
      <w:r w:rsidRPr="003E3830">
        <w:rPr>
          <w:rFonts w:ascii="Book Antiqua" w:hAnsi="Book Antiqua"/>
          <w:b/>
          <w:bCs/>
          <w:lang w:val="en-US"/>
        </w:rPr>
        <w:t>Inventory Turnover (ITO)</w:t>
      </w:r>
    </w:p>
    <w:p w14:paraId="13548EB4" w14:textId="3AB56739" w:rsidR="003E3830" w:rsidRDefault="003E3830" w:rsidP="003E3830">
      <w:pPr>
        <w:pStyle w:val="ListParagraph"/>
        <w:jc w:val="both"/>
        <w:rPr>
          <w:rFonts w:ascii="Book Antiqua" w:hAnsi="Book Antiqua"/>
          <w:lang w:val="en-US"/>
        </w:rPr>
      </w:pPr>
      <w:r>
        <w:rPr>
          <w:rFonts w:ascii="Book Antiqua" w:hAnsi="Book Antiqua"/>
          <w:lang w:val="en-US"/>
        </w:rPr>
        <w:tab/>
      </w:r>
      <w:r w:rsidRPr="003E3830">
        <w:rPr>
          <w:rFonts w:ascii="Book Antiqua" w:hAnsi="Book Antiqua"/>
          <w:lang w:val="en-US"/>
        </w:rPr>
        <w:t xml:space="preserve">Inventory Turnover (ITO) shows an unstable pattern. At the beginning of the 2015 period, the ITO ratio was still positive at 10.08%, but it consistently decreased to an average of -22.91% in 2024. This decrease indicates that the effectiveness of inventory management has reduced, as inventory is taking longer to turn into sales. The average inventory age during the study period also showed an increasing trend, reaching approximately 15–16 days, which </w:t>
      </w:r>
      <w:r w:rsidRPr="003E3830">
        <w:rPr>
          <w:rFonts w:ascii="Book Antiqua" w:hAnsi="Book Antiqua"/>
          <w:lang w:val="en-US"/>
        </w:rPr>
        <w:lastRenderedPageBreak/>
        <w:t>means the company faces challenges in accelerating inventory turnover and operational efficiency.</w:t>
      </w:r>
    </w:p>
    <w:p w14:paraId="5C45D0BF" w14:textId="77777777" w:rsidR="003E3830" w:rsidRDefault="003E3830" w:rsidP="003E3830">
      <w:pPr>
        <w:pStyle w:val="ListParagraph"/>
        <w:jc w:val="both"/>
        <w:rPr>
          <w:rFonts w:ascii="Book Antiqua" w:hAnsi="Book Antiqua"/>
          <w:lang w:val="en-US"/>
        </w:rPr>
      </w:pPr>
    </w:p>
    <w:p w14:paraId="4149A903" w14:textId="77777777" w:rsidR="003E3830" w:rsidRPr="003E3830" w:rsidRDefault="003E3830" w:rsidP="003E3830">
      <w:pPr>
        <w:pStyle w:val="ListParagraph"/>
        <w:numPr>
          <w:ilvl w:val="0"/>
          <w:numId w:val="10"/>
        </w:numPr>
        <w:jc w:val="both"/>
        <w:rPr>
          <w:rFonts w:ascii="Book Antiqua" w:hAnsi="Book Antiqua"/>
          <w:b/>
          <w:bCs/>
          <w:lang w:val="en-US"/>
        </w:rPr>
      </w:pPr>
      <w:r w:rsidRPr="003E3830">
        <w:rPr>
          <w:rFonts w:ascii="Book Antiqua" w:hAnsi="Book Antiqua"/>
          <w:b/>
          <w:bCs/>
          <w:lang w:val="en-US"/>
        </w:rPr>
        <w:t>Fixed Asset Turnover (FATO)</w:t>
      </w:r>
    </w:p>
    <w:p w14:paraId="3C38D50D" w14:textId="08F2DB95" w:rsidR="003E3830" w:rsidRDefault="003E3830" w:rsidP="003E3830">
      <w:pPr>
        <w:pStyle w:val="ListParagraph"/>
        <w:jc w:val="both"/>
        <w:rPr>
          <w:rFonts w:ascii="Book Antiqua" w:hAnsi="Book Antiqua"/>
          <w:lang w:val="en-US"/>
        </w:rPr>
      </w:pPr>
      <w:r>
        <w:rPr>
          <w:rFonts w:ascii="Book Antiqua" w:hAnsi="Book Antiqua"/>
          <w:lang w:val="en-US"/>
        </w:rPr>
        <w:tab/>
      </w:r>
      <w:r w:rsidRPr="003E3830">
        <w:rPr>
          <w:rFonts w:ascii="Book Antiqua" w:hAnsi="Book Antiqua"/>
          <w:lang w:val="en-US"/>
        </w:rPr>
        <w:t>Fixed Asset Turnover (FATO) experienced a drastic change with highly fluctuating and generally negative values throughout the observation period. In 2015, FATO briefly showed a high figure of 683.70%, but after that, it experienced a sharp decline, reaching -1,250.03% in 2024. This indicates that the company's fixed assets are not being used to their full potential in generating sales. The average FATO of -3,035.04% shows inefficiency in utilizing fixed assets to support the company's revenue.</w:t>
      </w:r>
    </w:p>
    <w:p w14:paraId="67DE921B" w14:textId="77777777" w:rsidR="003E3830" w:rsidRDefault="003E3830" w:rsidP="003E3830">
      <w:pPr>
        <w:pStyle w:val="ListParagraph"/>
        <w:jc w:val="both"/>
        <w:rPr>
          <w:rFonts w:ascii="Book Antiqua" w:hAnsi="Book Antiqua"/>
          <w:lang w:val="en-US"/>
        </w:rPr>
      </w:pPr>
    </w:p>
    <w:p w14:paraId="630D7876" w14:textId="77777777" w:rsidR="003E3830" w:rsidRPr="003E3830" w:rsidRDefault="003E3830" w:rsidP="003E3830">
      <w:pPr>
        <w:pStyle w:val="ListParagraph"/>
        <w:numPr>
          <w:ilvl w:val="0"/>
          <w:numId w:val="10"/>
        </w:numPr>
        <w:jc w:val="both"/>
        <w:rPr>
          <w:rFonts w:ascii="Book Antiqua" w:hAnsi="Book Antiqua"/>
          <w:b/>
          <w:bCs/>
          <w:lang w:val="en-US"/>
        </w:rPr>
      </w:pPr>
      <w:r w:rsidRPr="003E3830">
        <w:rPr>
          <w:rFonts w:ascii="Book Antiqua" w:hAnsi="Book Antiqua"/>
          <w:b/>
          <w:bCs/>
          <w:lang w:val="en-US"/>
        </w:rPr>
        <w:t>Total Asset Turnover (TATO)</w:t>
      </w:r>
    </w:p>
    <w:p w14:paraId="17009D7F" w14:textId="21111078" w:rsidR="00574B72" w:rsidRDefault="003E3830" w:rsidP="003E3830">
      <w:pPr>
        <w:pStyle w:val="ListParagraph"/>
        <w:jc w:val="both"/>
        <w:rPr>
          <w:rFonts w:ascii="Book Antiqua" w:hAnsi="Book Antiqua"/>
          <w:lang w:val="en-US"/>
        </w:rPr>
      </w:pPr>
      <w:r>
        <w:rPr>
          <w:rFonts w:ascii="Book Antiqua" w:hAnsi="Book Antiqua"/>
          <w:lang w:val="en-US"/>
        </w:rPr>
        <w:tab/>
      </w:r>
      <w:r w:rsidRPr="003E3830">
        <w:rPr>
          <w:rFonts w:ascii="Book Antiqua" w:hAnsi="Book Antiqua"/>
          <w:lang w:val="en-US"/>
        </w:rPr>
        <w:t>Total Asset Turnover (TATO) measures the overall ability of a company's assets to generate sales and also shows a declining trend. In 2015, the TATO value was still positive at 3.44%, but it consistently decreased to -6.50% in 2024, with an average of -5.75%. This decline indicates that the company's total assets have not been effectively managed to generate optimal revenue.</w:t>
      </w:r>
      <w:bookmarkEnd w:id="1"/>
    </w:p>
    <w:p w14:paraId="26B1934D" w14:textId="77777777" w:rsidR="003E3830" w:rsidRPr="003E3830" w:rsidRDefault="003E3830" w:rsidP="003E3830">
      <w:pPr>
        <w:pStyle w:val="ListParagraph"/>
        <w:jc w:val="both"/>
        <w:rPr>
          <w:rFonts w:ascii="Book Antiqua" w:hAnsi="Book Antiqua"/>
          <w:lang w:val="en-US"/>
        </w:rPr>
      </w:pPr>
    </w:p>
    <w:p w14:paraId="63AC5250" w14:textId="6F7D3F6A" w:rsidR="00547509" w:rsidRPr="000A1F91" w:rsidRDefault="008D68C3" w:rsidP="000A1F91">
      <w:pPr>
        <w:spacing w:before="100" w:beforeAutospacing="1" w:after="100" w:afterAutospacing="1"/>
        <w:jc w:val="both"/>
        <w:rPr>
          <w:rFonts w:ascii="Book Antiqua" w:eastAsia="Times New Roman" w:hAnsi="Book Antiqua" w:cs="Times New Roman"/>
          <w:b/>
          <w:bCs/>
          <w:lang w:val="en-US"/>
        </w:rPr>
      </w:pPr>
      <w:r w:rsidRPr="008D68C3">
        <w:rPr>
          <w:rFonts w:ascii="Book Antiqua" w:eastAsia="Times New Roman" w:hAnsi="Book Antiqua" w:cs="Times New Roman"/>
          <w:b/>
          <w:bCs/>
          <w:lang w:val="en-US"/>
        </w:rPr>
        <w:t>Profitability Ratio Calculation Results</w:t>
      </w:r>
    </w:p>
    <w:p w14:paraId="4752026B" w14:textId="00CDE473" w:rsidR="00547509" w:rsidRPr="000A1F91" w:rsidRDefault="00547509" w:rsidP="000A1F91">
      <w:pPr>
        <w:pStyle w:val="Caption"/>
        <w:jc w:val="center"/>
        <w:rPr>
          <w:rFonts w:ascii="Book Antiqua" w:hAnsi="Book Antiqua"/>
          <w:b/>
          <w:bCs/>
          <w:i w:val="0"/>
          <w:iCs w:val="0"/>
          <w:color w:val="auto"/>
          <w:sz w:val="24"/>
          <w:szCs w:val="24"/>
          <w:lang w:val="en-US"/>
        </w:rPr>
      </w:pPr>
      <w:r w:rsidRPr="000A1F91">
        <w:rPr>
          <w:rFonts w:ascii="Book Antiqua" w:hAnsi="Book Antiqua"/>
          <w:b/>
          <w:bCs/>
          <w:i w:val="0"/>
          <w:iCs w:val="0"/>
          <w:color w:val="auto"/>
          <w:sz w:val="24"/>
          <w:szCs w:val="24"/>
        </w:rPr>
        <w:t xml:space="preserve">Table </w:t>
      </w:r>
      <w:r w:rsidRPr="000A1F91">
        <w:rPr>
          <w:rFonts w:ascii="Book Antiqua" w:hAnsi="Book Antiqua"/>
          <w:b/>
          <w:bCs/>
          <w:i w:val="0"/>
          <w:iCs w:val="0"/>
          <w:color w:val="auto"/>
          <w:sz w:val="24"/>
          <w:szCs w:val="24"/>
        </w:rPr>
        <w:fldChar w:fldCharType="begin"/>
      </w:r>
      <w:r w:rsidRPr="000A1F91">
        <w:rPr>
          <w:rFonts w:ascii="Book Antiqua" w:hAnsi="Book Antiqua"/>
          <w:b/>
          <w:bCs/>
          <w:i w:val="0"/>
          <w:iCs w:val="0"/>
          <w:color w:val="auto"/>
          <w:sz w:val="24"/>
          <w:szCs w:val="24"/>
        </w:rPr>
        <w:instrText xml:space="preserve"> SEQ Table \* ARABIC </w:instrText>
      </w:r>
      <w:r w:rsidRPr="000A1F91">
        <w:rPr>
          <w:rFonts w:ascii="Book Antiqua" w:hAnsi="Book Antiqua"/>
          <w:b/>
          <w:bCs/>
          <w:i w:val="0"/>
          <w:iCs w:val="0"/>
          <w:color w:val="auto"/>
          <w:sz w:val="24"/>
          <w:szCs w:val="24"/>
        </w:rPr>
        <w:fldChar w:fldCharType="separate"/>
      </w:r>
      <w:r w:rsidRPr="000A1F91">
        <w:rPr>
          <w:rFonts w:ascii="Book Antiqua" w:hAnsi="Book Antiqua"/>
          <w:b/>
          <w:bCs/>
          <w:i w:val="0"/>
          <w:iCs w:val="0"/>
          <w:noProof/>
          <w:color w:val="auto"/>
          <w:sz w:val="24"/>
          <w:szCs w:val="24"/>
        </w:rPr>
        <w:t>2</w:t>
      </w:r>
      <w:r w:rsidRPr="000A1F91">
        <w:rPr>
          <w:rFonts w:ascii="Book Antiqua" w:hAnsi="Book Antiqua"/>
          <w:b/>
          <w:bCs/>
          <w:i w:val="0"/>
          <w:iCs w:val="0"/>
          <w:color w:val="auto"/>
          <w:sz w:val="24"/>
          <w:szCs w:val="24"/>
        </w:rPr>
        <w:fldChar w:fldCharType="end"/>
      </w:r>
      <w:r w:rsidRPr="000A1F91">
        <w:rPr>
          <w:rFonts w:ascii="Book Antiqua" w:hAnsi="Book Antiqua"/>
          <w:b/>
          <w:bCs/>
          <w:i w:val="0"/>
          <w:iCs w:val="0"/>
          <w:color w:val="auto"/>
          <w:sz w:val="24"/>
          <w:szCs w:val="24"/>
          <w:lang w:val="en-US"/>
        </w:rPr>
        <w:t xml:space="preserve">. </w:t>
      </w:r>
      <w:r w:rsidR="008D68C3" w:rsidRPr="008D68C3">
        <w:rPr>
          <w:rFonts w:ascii="Book Antiqua" w:hAnsi="Book Antiqua"/>
          <w:b/>
          <w:bCs/>
          <w:i w:val="0"/>
          <w:iCs w:val="0"/>
          <w:color w:val="auto"/>
          <w:sz w:val="24"/>
          <w:szCs w:val="24"/>
          <w:lang w:val="en-US"/>
        </w:rPr>
        <w:t>Profitability Ratio Calculation Results</w:t>
      </w:r>
    </w:p>
    <w:p w14:paraId="18713F40" w14:textId="1248A09A" w:rsidR="00547509" w:rsidRPr="000A1F91" w:rsidRDefault="00547509" w:rsidP="000A1F91">
      <w:pPr>
        <w:rPr>
          <w:rFonts w:ascii="Book Antiqua" w:hAnsi="Book Antiqua"/>
          <w:lang w:val="en-US"/>
        </w:rPr>
      </w:pPr>
      <w:r w:rsidRPr="000A1F91">
        <w:rPr>
          <w:rFonts w:ascii="Book Antiqua" w:hAnsi="Book Antiqua"/>
          <w:noProof/>
          <w:lang w:val="en-US"/>
        </w:rPr>
        <w:drawing>
          <wp:inline distT="0" distB="0" distL="0" distR="0" wp14:anchorId="0745F6B6" wp14:editId="3C2E5125">
            <wp:extent cx="5731510" cy="13563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356360"/>
                    </a:xfrm>
                    <a:prstGeom prst="rect">
                      <a:avLst/>
                    </a:prstGeom>
                  </pic:spPr>
                </pic:pic>
              </a:graphicData>
            </a:graphic>
          </wp:inline>
        </w:drawing>
      </w:r>
    </w:p>
    <w:p w14:paraId="1BEDB04A" w14:textId="77777777" w:rsidR="008D68C3" w:rsidRDefault="00547509" w:rsidP="008D68C3">
      <w:pPr>
        <w:spacing w:before="100" w:beforeAutospacing="1" w:after="100" w:afterAutospacing="1"/>
        <w:jc w:val="both"/>
        <w:rPr>
          <w:rFonts w:ascii="Book Antiqua" w:eastAsia="Times New Roman" w:hAnsi="Book Antiqua" w:cs="Times New Roman"/>
          <w:lang w:val="en-US"/>
        </w:rPr>
      </w:pPr>
      <w:r w:rsidRPr="000A1F91">
        <w:rPr>
          <w:rFonts w:ascii="Book Antiqua" w:eastAsia="Times New Roman" w:hAnsi="Book Antiqua" w:cs="Times New Roman"/>
          <w:lang w:val="en-US"/>
        </w:rPr>
        <w:tab/>
      </w:r>
      <w:r w:rsidR="008D68C3" w:rsidRPr="008D68C3">
        <w:rPr>
          <w:rFonts w:ascii="Book Antiqua" w:eastAsia="Times New Roman" w:hAnsi="Book Antiqua" w:cs="Times New Roman"/>
          <w:lang w:val="en-US"/>
        </w:rPr>
        <w:t>Based on the results of profitability ratio calculations for PT Japfa Comfeed Indonesia Tbk during the period 2015–2024, it can be seen that:</w:t>
      </w:r>
    </w:p>
    <w:p w14:paraId="72820765" w14:textId="5CCA81B0" w:rsidR="008D68C3" w:rsidRDefault="008D68C3" w:rsidP="002B1CE5">
      <w:pPr>
        <w:pStyle w:val="ListParagraph"/>
        <w:numPr>
          <w:ilvl w:val="0"/>
          <w:numId w:val="11"/>
        </w:numPr>
        <w:spacing w:before="100" w:beforeAutospacing="1" w:after="100" w:afterAutospacing="1"/>
        <w:jc w:val="both"/>
        <w:rPr>
          <w:rFonts w:ascii="Book Antiqua" w:eastAsia="Times New Roman" w:hAnsi="Book Antiqua" w:cs="Times New Roman"/>
          <w:lang w:val="en-US"/>
        </w:rPr>
      </w:pPr>
      <w:r w:rsidRPr="008D68C3">
        <w:rPr>
          <w:rFonts w:ascii="Book Antiqua" w:eastAsia="Times New Roman" w:hAnsi="Book Antiqua" w:cs="Times New Roman"/>
          <w:b/>
          <w:bCs/>
          <w:lang w:val="en-US"/>
        </w:rPr>
        <w:t>Gross Profit Margin (GPM)</w:t>
      </w:r>
      <w:r w:rsidRPr="008D68C3">
        <w:rPr>
          <w:rFonts w:ascii="Book Antiqua" w:eastAsia="Times New Roman" w:hAnsi="Book Antiqua" w:cs="Times New Roman"/>
          <w:lang w:val="en-US"/>
        </w:rPr>
        <w:t>,</w:t>
      </w:r>
      <w:r>
        <w:rPr>
          <w:rFonts w:ascii="Book Antiqua" w:eastAsia="Times New Roman" w:hAnsi="Book Antiqua" w:cs="Times New Roman"/>
          <w:lang w:val="en-US"/>
        </w:rPr>
        <w:t xml:space="preserve"> </w:t>
      </w:r>
      <w:r w:rsidRPr="008D68C3">
        <w:rPr>
          <w:rFonts w:ascii="Book Antiqua" w:eastAsia="Times New Roman" w:hAnsi="Book Antiqua" w:cs="Times New Roman"/>
          <w:lang w:val="en-US"/>
        </w:rPr>
        <w:t>measures a company's ability to generate gross profit from sales after deducting the cost of goods sold.</w:t>
      </w:r>
    </w:p>
    <w:p w14:paraId="3EEF6CDA" w14:textId="4C824C72" w:rsidR="008D68C3" w:rsidRDefault="008D68C3" w:rsidP="008D68C3">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8D68C3">
        <w:rPr>
          <w:rFonts w:ascii="Book Antiqua" w:eastAsia="Times New Roman" w:hAnsi="Book Antiqua" w:cs="Times New Roman"/>
          <w:lang w:val="en-US"/>
        </w:rPr>
        <w:t xml:space="preserve">In 2015, GPM was recorded at 15.96%, indicating that gross profit margins were still low. In 2016, it increased to 20.24%, indicating improved production cost efficiency. In 2017, it decreased to 16.96%, but rose again in 2018 to 19.02%. In 2019, it reached 20.25%, showing the best performance up to that period. In 2020, it remained relatively stable at 20.10%, despite the pandemic suppressing demand. In 2021, it decreased to 17.87%, then continued to decline in 2022 to 15.89% and in 2023 to 14.68%. However, in 2024, GPM </w:t>
      </w:r>
      <w:r w:rsidRPr="008D68C3">
        <w:rPr>
          <w:rFonts w:ascii="Book Antiqua" w:eastAsia="Times New Roman" w:hAnsi="Book Antiqua" w:cs="Times New Roman"/>
          <w:lang w:val="en-US"/>
        </w:rPr>
        <w:lastRenderedPageBreak/>
        <w:t>significantly increased again to 20.10%. Overall, GPM shows a fluctuating trend, indicating changes in production cost efficiency and selling prices from year to year.</w:t>
      </w:r>
    </w:p>
    <w:p w14:paraId="3DBB7EBE" w14:textId="77777777" w:rsidR="008D68C3" w:rsidRDefault="008D68C3" w:rsidP="008D68C3">
      <w:pPr>
        <w:pStyle w:val="ListParagraph"/>
        <w:spacing w:before="100" w:beforeAutospacing="1" w:after="100" w:afterAutospacing="1"/>
        <w:jc w:val="both"/>
        <w:rPr>
          <w:rFonts w:ascii="Book Antiqua" w:eastAsia="Times New Roman" w:hAnsi="Book Antiqua" w:cs="Times New Roman"/>
          <w:lang w:val="en-US"/>
        </w:rPr>
      </w:pPr>
    </w:p>
    <w:p w14:paraId="75FA959E" w14:textId="3B6C6A02" w:rsidR="008D68C3" w:rsidRDefault="008D68C3" w:rsidP="002B1CE5">
      <w:pPr>
        <w:pStyle w:val="ListParagraph"/>
        <w:numPr>
          <w:ilvl w:val="0"/>
          <w:numId w:val="11"/>
        </w:numPr>
        <w:spacing w:before="100" w:beforeAutospacing="1" w:after="100" w:afterAutospacing="1"/>
        <w:jc w:val="both"/>
        <w:rPr>
          <w:rFonts w:ascii="Book Antiqua" w:eastAsia="Times New Roman" w:hAnsi="Book Antiqua" w:cs="Times New Roman"/>
          <w:lang w:val="en-US"/>
        </w:rPr>
      </w:pPr>
      <w:r w:rsidRPr="008D68C3">
        <w:rPr>
          <w:rFonts w:ascii="Book Antiqua" w:eastAsia="Times New Roman" w:hAnsi="Book Antiqua" w:cs="Times New Roman"/>
          <w:b/>
          <w:bCs/>
          <w:lang w:val="en-US"/>
        </w:rPr>
        <w:t>Operating Profit Margin (OPM)</w:t>
      </w:r>
      <w:r>
        <w:rPr>
          <w:rFonts w:ascii="Book Antiqua" w:eastAsia="Times New Roman" w:hAnsi="Book Antiqua" w:cs="Times New Roman"/>
          <w:lang w:val="en-US"/>
        </w:rPr>
        <w:t>,</w:t>
      </w:r>
      <w:r w:rsidRPr="008D68C3">
        <w:rPr>
          <w:rFonts w:ascii="Book Antiqua" w:eastAsia="Times New Roman" w:hAnsi="Book Antiqua" w:cs="Times New Roman"/>
          <w:lang w:val="en-US"/>
        </w:rPr>
        <w:t xml:space="preserve"> measures a company's ability to generate operating profit after accounting for operating expenses.</w:t>
      </w:r>
    </w:p>
    <w:p w14:paraId="05BE4E86" w14:textId="5CFA03E2" w:rsidR="008D68C3" w:rsidRDefault="008D68C3" w:rsidP="008D68C3">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8D68C3">
        <w:rPr>
          <w:rFonts w:ascii="Book Antiqua" w:eastAsia="Times New Roman" w:hAnsi="Book Antiqua" w:cs="Times New Roman"/>
          <w:lang w:val="en-US"/>
        </w:rPr>
        <w:t>In 2015, an OPM of 6.91% indicates that operational efficiency is still low. In 2016, it increased to 11.72%, indicating better cost control. In 2017, it decreased to 7.58%, and then rose again to 10.22% in 2018. In 2019, it remained high at 8.04%, showing stability in operating profit. In 2020, it dropped to 6.72%, but increased again in 2021 to 7.85%. In 2022, OPM decreased to 5.62%, followed by another decrease in 2023 to 4.31%. In 2024, OPM increased again to 9.07%. This fluctuation shows that the company's operational efficiency is highly influenced by raw material prices and sales volume each year.</w:t>
      </w:r>
    </w:p>
    <w:p w14:paraId="7E73CC2A" w14:textId="77777777" w:rsidR="008D68C3" w:rsidRDefault="008D68C3" w:rsidP="008D68C3">
      <w:pPr>
        <w:pStyle w:val="ListParagraph"/>
        <w:spacing w:before="100" w:beforeAutospacing="1" w:after="100" w:afterAutospacing="1"/>
        <w:jc w:val="both"/>
        <w:rPr>
          <w:rFonts w:ascii="Book Antiqua" w:eastAsia="Times New Roman" w:hAnsi="Book Antiqua" w:cs="Times New Roman"/>
          <w:lang w:val="en-US"/>
        </w:rPr>
      </w:pPr>
    </w:p>
    <w:p w14:paraId="6FB99187" w14:textId="4F72A40A" w:rsidR="008D68C3" w:rsidRDefault="008D68C3" w:rsidP="002B1CE5">
      <w:pPr>
        <w:pStyle w:val="ListParagraph"/>
        <w:numPr>
          <w:ilvl w:val="0"/>
          <w:numId w:val="11"/>
        </w:numPr>
        <w:spacing w:before="100" w:beforeAutospacing="1" w:after="100" w:afterAutospacing="1"/>
        <w:jc w:val="both"/>
        <w:rPr>
          <w:rFonts w:ascii="Book Antiqua" w:eastAsia="Times New Roman" w:hAnsi="Book Antiqua" w:cs="Times New Roman"/>
          <w:lang w:val="en-US"/>
        </w:rPr>
      </w:pPr>
      <w:r w:rsidRPr="002B1CE5">
        <w:rPr>
          <w:rFonts w:ascii="Book Antiqua" w:eastAsia="Times New Roman" w:hAnsi="Book Antiqua" w:cs="Times New Roman"/>
          <w:b/>
          <w:bCs/>
          <w:lang w:val="en-US"/>
        </w:rPr>
        <w:t>Net Profit Margin (NPM)</w:t>
      </w:r>
      <w:r w:rsidRPr="008D68C3">
        <w:rPr>
          <w:rFonts w:ascii="Book Antiqua" w:eastAsia="Times New Roman" w:hAnsi="Book Antiqua" w:cs="Times New Roman"/>
          <w:lang w:val="en-US"/>
        </w:rPr>
        <w:t>,</w:t>
      </w:r>
      <w:r w:rsidR="002B1CE5">
        <w:rPr>
          <w:rFonts w:ascii="Book Antiqua" w:eastAsia="Times New Roman" w:hAnsi="Book Antiqua" w:cs="Times New Roman"/>
          <w:lang w:val="en-US"/>
        </w:rPr>
        <w:t xml:space="preserve"> </w:t>
      </w:r>
      <w:r w:rsidRPr="008D68C3">
        <w:rPr>
          <w:rFonts w:ascii="Book Antiqua" w:eastAsia="Times New Roman" w:hAnsi="Book Antiqua" w:cs="Times New Roman"/>
          <w:lang w:val="en-US"/>
        </w:rPr>
        <w:t>measures a company's ability to generate net profit after all costs, interest, and taxes are deducted from sales.</w:t>
      </w:r>
    </w:p>
    <w:p w14:paraId="1A77C36E" w14:textId="06515656" w:rsidR="008D68C3" w:rsidRDefault="008D68C3" w:rsidP="008D68C3">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8D68C3">
        <w:rPr>
          <w:rFonts w:ascii="Book Antiqua" w:eastAsia="Times New Roman" w:hAnsi="Book Antiqua" w:cs="Times New Roman"/>
          <w:lang w:val="en-US"/>
        </w:rPr>
        <w:t>In 2015, NPM was only 2.10%, indicating low net profit. In 2016, NPM increased sharply to 8.02% due to a significant increase in net profit. However, in 2017, it decreased to 3.52%, then rose to 6.62% in 2018. In 2019, it slightly decreased to 6.22%, and in 2020, it plummeted to 2.71% due to the economic conditions of the pandemic. In 2021, it improved again to 4.75%, but decreased in 2022 (3.04%) and 2023 (1.85%). In 2024, NPM increased again to 5.76%. This trend shows that the company's net profit is highly dependent on external conditions such as raw material prices, exchange rates, and demand levels.</w:t>
      </w:r>
    </w:p>
    <w:p w14:paraId="7969DF21" w14:textId="77777777" w:rsidR="002B1CE5" w:rsidRDefault="002B1CE5" w:rsidP="008D68C3">
      <w:pPr>
        <w:pStyle w:val="ListParagraph"/>
        <w:spacing w:before="100" w:beforeAutospacing="1" w:after="100" w:afterAutospacing="1"/>
        <w:jc w:val="both"/>
        <w:rPr>
          <w:rFonts w:ascii="Book Antiqua" w:eastAsia="Times New Roman" w:hAnsi="Book Antiqua" w:cs="Times New Roman"/>
          <w:lang w:val="en-US"/>
        </w:rPr>
      </w:pPr>
    </w:p>
    <w:p w14:paraId="79E8E853" w14:textId="77777777" w:rsidR="002B1CE5" w:rsidRDefault="002B1CE5" w:rsidP="002B1CE5">
      <w:pPr>
        <w:pStyle w:val="ListParagraph"/>
        <w:numPr>
          <w:ilvl w:val="0"/>
          <w:numId w:val="11"/>
        </w:numPr>
        <w:spacing w:before="100" w:beforeAutospacing="1" w:after="100" w:afterAutospacing="1"/>
        <w:jc w:val="both"/>
        <w:rPr>
          <w:rFonts w:ascii="Book Antiqua" w:eastAsia="Times New Roman" w:hAnsi="Book Antiqua" w:cs="Times New Roman"/>
          <w:lang w:val="en-US"/>
        </w:rPr>
      </w:pPr>
      <w:r w:rsidRPr="002B1CE5">
        <w:rPr>
          <w:rFonts w:ascii="Book Antiqua" w:eastAsia="Times New Roman" w:hAnsi="Book Antiqua" w:cs="Times New Roman"/>
          <w:b/>
          <w:bCs/>
          <w:lang w:val="en-US"/>
        </w:rPr>
        <w:t>Return on Assets (ROA)</w:t>
      </w:r>
      <w:r>
        <w:rPr>
          <w:rFonts w:ascii="Book Antiqua" w:eastAsia="Times New Roman" w:hAnsi="Book Antiqua" w:cs="Times New Roman"/>
          <w:lang w:val="en-US"/>
        </w:rPr>
        <w:t>,</w:t>
      </w:r>
      <w:r w:rsidRPr="002B1CE5">
        <w:rPr>
          <w:rFonts w:ascii="Book Antiqua" w:eastAsia="Times New Roman" w:hAnsi="Book Antiqua" w:cs="Times New Roman"/>
          <w:lang w:val="en-US"/>
        </w:rPr>
        <w:t xml:space="preserve"> measures a company's effectiveness in using its assets to generate net profit.</w:t>
      </w:r>
    </w:p>
    <w:p w14:paraId="076ACBD4" w14:textId="09AC0190" w:rsidR="002B1CE5" w:rsidRDefault="002B1CE5" w:rsidP="002B1CE5">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b/>
          <w:bCs/>
          <w:lang w:val="en-US"/>
        </w:rPr>
        <w:tab/>
      </w:r>
      <w:r w:rsidRPr="002B1CE5">
        <w:rPr>
          <w:rFonts w:ascii="Book Antiqua" w:eastAsia="Times New Roman" w:hAnsi="Book Antiqua" w:cs="Times New Roman"/>
          <w:lang w:val="en-US"/>
        </w:rPr>
        <w:t>In 2015, ROA was 3.06%, significantly increasing to 11.29% in 2016, indicating good asset utilization efficiency. However, in 2017 it decreased to 3.86%, and then rose again in 2018 (7.07%) and 2019 (7.07%). In 2020, it decreased to 3.86% due to a decline in sales during the pandemic. In 2021, ROA increased to 4.95%, then decreased to 4.59% in 2022, 2.79% in 2023, and slightly improved to 4.40% in 2024. This movement indicates that the efficiency of the company's asset utilization is quite volatile and heavily influenced by market conditions and the company's investment policies.</w:t>
      </w:r>
    </w:p>
    <w:p w14:paraId="26C4B713" w14:textId="77777777" w:rsidR="002B1CE5" w:rsidRDefault="002B1CE5" w:rsidP="002B1CE5">
      <w:pPr>
        <w:pStyle w:val="ListParagraph"/>
        <w:spacing w:before="100" w:beforeAutospacing="1" w:after="100" w:afterAutospacing="1"/>
        <w:jc w:val="both"/>
        <w:rPr>
          <w:rFonts w:ascii="Book Antiqua" w:eastAsia="Times New Roman" w:hAnsi="Book Antiqua" w:cs="Times New Roman"/>
          <w:lang w:val="en-US"/>
        </w:rPr>
      </w:pPr>
    </w:p>
    <w:p w14:paraId="3388BE01" w14:textId="181C0A93" w:rsidR="002B1CE5" w:rsidRDefault="002B1CE5" w:rsidP="002B1CE5">
      <w:pPr>
        <w:pStyle w:val="ListParagraph"/>
        <w:numPr>
          <w:ilvl w:val="0"/>
          <w:numId w:val="11"/>
        </w:numPr>
        <w:spacing w:before="100" w:beforeAutospacing="1" w:after="100" w:afterAutospacing="1"/>
        <w:jc w:val="both"/>
        <w:rPr>
          <w:rFonts w:ascii="Book Antiqua" w:eastAsia="Times New Roman" w:hAnsi="Book Antiqua" w:cs="Times New Roman"/>
          <w:lang w:val="en-US"/>
        </w:rPr>
      </w:pPr>
      <w:r w:rsidRPr="002B1CE5">
        <w:rPr>
          <w:rFonts w:ascii="Book Antiqua" w:eastAsia="Times New Roman" w:hAnsi="Book Antiqua" w:cs="Times New Roman"/>
          <w:b/>
          <w:bCs/>
          <w:lang w:val="en-US"/>
        </w:rPr>
        <w:t>Return on Equity (ROE)</w:t>
      </w:r>
      <w:r w:rsidRPr="002B1CE5">
        <w:rPr>
          <w:rFonts w:ascii="Book Antiqua" w:eastAsia="Times New Roman" w:hAnsi="Book Antiqua" w:cs="Times New Roman"/>
          <w:lang w:val="en-US"/>
        </w:rPr>
        <w:t>,</w:t>
      </w:r>
      <w:r>
        <w:rPr>
          <w:rFonts w:ascii="Book Antiqua" w:eastAsia="Times New Roman" w:hAnsi="Book Antiqua" w:cs="Times New Roman"/>
          <w:lang w:val="en-US"/>
        </w:rPr>
        <w:t xml:space="preserve"> </w:t>
      </w:r>
      <w:r w:rsidRPr="002B1CE5">
        <w:rPr>
          <w:rFonts w:ascii="Book Antiqua" w:eastAsia="Times New Roman" w:hAnsi="Book Antiqua" w:cs="Times New Roman"/>
          <w:lang w:val="en-US"/>
        </w:rPr>
        <w:t>measures how much net profit is generated from the company's own capital (equity).</w:t>
      </w:r>
    </w:p>
    <w:p w14:paraId="7CAF07AD" w14:textId="5AD3B61A" w:rsidR="002B1CE5" w:rsidRDefault="002B1CE5" w:rsidP="002B1CE5">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b/>
          <w:bCs/>
          <w:lang w:val="en-US"/>
        </w:rPr>
        <w:tab/>
      </w:r>
      <w:r w:rsidRPr="002B1CE5">
        <w:rPr>
          <w:rFonts w:ascii="Book Antiqua" w:eastAsia="Times New Roman" w:hAnsi="Book Antiqua" w:cs="Times New Roman"/>
          <w:lang w:val="en-US"/>
        </w:rPr>
        <w:t xml:space="preserve">In 2015, ROE was recorded at 14.38%, increasing to 16.86% in 2016, indicating a good return on capital. In 2017, it slightly decreased to 16.25%, followed by a decline in 2018 to 14.35%. In 2019, it decreased again to 13.86%, and in 2020, it plummeted to 10.36%. In 2021, it increased to 13.96%, but decreased again in 2022 (11.20%) and 2023 (8.45%). In 2024, ROE increased </w:t>
      </w:r>
      <w:r w:rsidRPr="002B1CE5">
        <w:rPr>
          <w:rFonts w:ascii="Book Antiqua" w:eastAsia="Times New Roman" w:hAnsi="Book Antiqua" w:cs="Times New Roman"/>
          <w:lang w:val="en-US"/>
        </w:rPr>
        <w:lastRenderedPageBreak/>
        <w:t>again to 11.86%. Overall, ROE shows fluctuating but still positive performance, demonstrating the company's ability to maintain a return on capital despite facing external pressures.</w:t>
      </w:r>
    </w:p>
    <w:p w14:paraId="06FDE083" w14:textId="77777777" w:rsidR="002B1CE5" w:rsidRDefault="002B1CE5" w:rsidP="002B1CE5">
      <w:pPr>
        <w:pStyle w:val="ListParagraph"/>
        <w:spacing w:before="100" w:beforeAutospacing="1" w:after="100" w:afterAutospacing="1"/>
        <w:jc w:val="both"/>
        <w:rPr>
          <w:rFonts w:ascii="Book Antiqua" w:eastAsia="Times New Roman" w:hAnsi="Book Antiqua" w:cs="Times New Roman"/>
          <w:lang w:val="en-US"/>
        </w:rPr>
      </w:pPr>
    </w:p>
    <w:p w14:paraId="1347F1A3" w14:textId="77777777" w:rsidR="002B1CE5" w:rsidRDefault="002B1CE5" w:rsidP="002B1CE5">
      <w:pPr>
        <w:pStyle w:val="ListParagraph"/>
        <w:numPr>
          <w:ilvl w:val="0"/>
          <w:numId w:val="11"/>
        </w:numPr>
        <w:spacing w:before="100" w:beforeAutospacing="1" w:after="100" w:afterAutospacing="1"/>
        <w:jc w:val="both"/>
        <w:rPr>
          <w:rFonts w:ascii="Book Antiqua" w:eastAsia="Times New Roman" w:hAnsi="Book Antiqua" w:cs="Times New Roman"/>
          <w:lang w:val="en-US"/>
        </w:rPr>
      </w:pPr>
      <w:r w:rsidRPr="002B1CE5">
        <w:rPr>
          <w:rFonts w:ascii="Book Antiqua" w:eastAsia="Times New Roman" w:hAnsi="Book Antiqua" w:cs="Times New Roman"/>
          <w:b/>
          <w:bCs/>
          <w:lang w:val="en-US"/>
        </w:rPr>
        <w:t>Earnings Per Share (EPS)</w:t>
      </w:r>
      <w:r w:rsidRPr="002B1CE5">
        <w:rPr>
          <w:rFonts w:ascii="Book Antiqua" w:eastAsia="Times New Roman" w:hAnsi="Book Antiqua" w:cs="Times New Roman"/>
          <w:lang w:val="en-US"/>
        </w:rPr>
        <w:t>, measures the net profit generated for each outstanding share.</w:t>
      </w:r>
    </w:p>
    <w:p w14:paraId="339AD7D2" w14:textId="2263E39F" w:rsidR="002B1CE5" w:rsidRDefault="002B1CE5" w:rsidP="002B1CE5">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b/>
          <w:bCs/>
          <w:lang w:val="en-US"/>
        </w:rPr>
        <w:tab/>
      </w:r>
      <w:r w:rsidRPr="002B1CE5">
        <w:rPr>
          <w:rFonts w:ascii="Book Antiqua" w:eastAsia="Times New Roman" w:hAnsi="Book Antiqua" w:cs="Times New Roman"/>
          <w:lang w:val="en-US"/>
        </w:rPr>
        <w:t>In 2015, EPS was Rp49.29, which increased dramatically in 2016 to Rp190.66. In 2017, EPS decreased to Rp91.61, then rose in 2018 to Rp92.30. In 2019, EPS reached Rp160.75, then fell in 2020 to Rp85.99 due to the pandemic. In 2021, it increased to Rp183.38, then decreased in 2022 to Rp128.31, and fell again in 2023 to Rp81.36. In 2024, EPS surged to Rp276.28, indicating a significant increase in net profit. This indicates improved company performance at the end of the study period.</w:t>
      </w:r>
    </w:p>
    <w:p w14:paraId="6D202220" w14:textId="77777777" w:rsidR="002B1CE5" w:rsidRDefault="002B1CE5" w:rsidP="002B1CE5">
      <w:pPr>
        <w:pStyle w:val="ListParagraph"/>
        <w:spacing w:before="100" w:beforeAutospacing="1" w:after="100" w:afterAutospacing="1"/>
        <w:jc w:val="both"/>
        <w:rPr>
          <w:rFonts w:ascii="Book Antiqua" w:eastAsia="Times New Roman" w:hAnsi="Book Antiqua" w:cs="Times New Roman"/>
          <w:lang w:val="en-US"/>
        </w:rPr>
      </w:pPr>
    </w:p>
    <w:p w14:paraId="64C8DA1A" w14:textId="1C5DE307" w:rsidR="002B1CE5" w:rsidRDefault="002B1CE5" w:rsidP="002B1CE5">
      <w:pPr>
        <w:pStyle w:val="ListParagraph"/>
        <w:numPr>
          <w:ilvl w:val="0"/>
          <w:numId w:val="11"/>
        </w:numPr>
        <w:spacing w:before="100" w:beforeAutospacing="1" w:after="100" w:afterAutospacing="1"/>
        <w:jc w:val="both"/>
        <w:rPr>
          <w:rFonts w:ascii="Book Antiqua" w:eastAsia="Times New Roman" w:hAnsi="Book Antiqua" w:cs="Times New Roman"/>
          <w:lang w:val="en-US"/>
        </w:rPr>
      </w:pPr>
      <w:r w:rsidRPr="002B1CE5">
        <w:rPr>
          <w:rFonts w:ascii="Book Antiqua" w:eastAsia="Times New Roman" w:hAnsi="Book Antiqua" w:cs="Times New Roman"/>
          <w:b/>
          <w:bCs/>
          <w:lang w:val="en-US"/>
        </w:rPr>
        <w:t>Dividend Per Share (DPS)</w:t>
      </w:r>
      <w:r w:rsidRPr="002B1CE5">
        <w:rPr>
          <w:rFonts w:ascii="Book Antiqua" w:eastAsia="Times New Roman" w:hAnsi="Book Antiqua" w:cs="Times New Roman"/>
          <w:lang w:val="en-US"/>
        </w:rPr>
        <w:t>,</w:t>
      </w:r>
      <w:r>
        <w:rPr>
          <w:rFonts w:ascii="Book Antiqua" w:eastAsia="Times New Roman" w:hAnsi="Book Antiqua" w:cs="Times New Roman"/>
          <w:lang w:val="en-US"/>
        </w:rPr>
        <w:t xml:space="preserve"> </w:t>
      </w:r>
      <w:r w:rsidRPr="002B1CE5">
        <w:rPr>
          <w:rFonts w:ascii="Book Antiqua" w:eastAsia="Times New Roman" w:hAnsi="Book Antiqua" w:cs="Times New Roman"/>
          <w:lang w:val="en-US"/>
        </w:rPr>
        <w:t>measures the amount of dividends paid to shareholders for each share.</w:t>
      </w:r>
    </w:p>
    <w:p w14:paraId="32FC4C78" w14:textId="723E0DCA" w:rsidR="007E0AE8" w:rsidRPr="002B1CE5" w:rsidRDefault="002B1CE5" w:rsidP="002B1CE5">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b/>
          <w:bCs/>
          <w:lang w:val="en-US"/>
        </w:rPr>
        <w:tab/>
      </w:r>
      <w:r w:rsidRPr="002B1CE5">
        <w:rPr>
          <w:rFonts w:ascii="Book Antiqua" w:eastAsia="Times New Roman" w:hAnsi="Book Antiqua" w:cs="Times New Roman"/>
          <w:lang w:val="en-US"/>
        </w:rPr>
        <w:t>In 2015, DPS was recorded at Rp86.98, sharply increasing in 2016 to Rp246.21. In 2017, it decreased to Rp80.73, then rose again in 2018 to Rp157.66. In 2019, DPS was at Rp158.29, then decreased to Rp70.59 in 2020 due to a decline in profits. In 2021, it increased to Rp189.02, decreased in 2022 to Rp110.42, and decreased again in 2023 to Rp90.61. In 2024, DPS increased significantly to IDR 280.30, indicating improved financial performance and the company's ability to provide greater returns to investors.</w:t>
      </w:r>
    </w:p>
    <w:p w14:paraId="68DCA399" w14:textId="77777777" w:rsidR="002B1CE5" w:rsidRDefault="002B1CE5" w:rsidP="000A1F91">
      <w:pPr>
        <w:jc w:val="both"/>
        <w:rPr>
          <w:rFonts w:ascii="Book Antiqua" w:hAnsi="Book Antiqua"/>
          <w:b/>
          <w:bCs/>
          <w:lang w:val="en-US"/>
        </w:rPr>
      </w:pPr>
    </w:p>
    <w:p w14:paraId="1D81B926" w14:textId="0B800E4A" w:rsidR="00A63EA4" w:rsidRPr="00A63EA4" w:rsidRDefault="00A63EA4" w:rsidP="00A63EA4">
      <w:pPr>
        <w:jc w:val="both"/>
        <w:rPr>
          <w:rFonts w:ascii="Book Antiqua" w:hAnsi="Book Antiqua"/>
          <w:b/>
          <w:bCs/>
          <w:lang w:val="en-US"/>
        </w:rPr>
      </w:pPr>
      <w:r w:rsidRPr="00A63EA4">
        <w:rPr>
          <w:rFonts w:ascii="Book Antiqua" w:hAnsi="Book Antiqua"/>
          <w:b/>
          <w:bCs/>
          <w:lang w:val="en-US"/>
        </w:rPr>
        <w:t>Conclusion</w:t>
      </w:r>
    </w:p>
    <w:p w14:paraId="69A1D8EA" w14:textId="77777777" w:rsidR="00A63EA4" w:rsidRDefault="00A63EA4" w:rsidP="00A63EA4">
      <w:pPr>
        <w:jc w:val="both"/>
        <w:rPr>
          <w:rFonts w:ascii="Book Antiqua" w:hAnsi="Book Antiqua"/>
          <w:lang w:val="en-US"/>
        </w:rPr>
      </w:pPr>
      <w:r>
        <w:rPr>
          <w:rFonts w:ascii="Book Antiqua" w:hAnsi="Book Antiqua"/>
          <w:lang w:val="en-US"/>
        </w:rPr>
        <w:tab/>
      </w:r>
      <w:r w:rsidRPr="00A63EA4">
        <w:rPr>
          <w:rFonts w:ascii="Book Antiqua" w:hAnsi="Book Antiqua"/>
          <w:lang w:val="en-US"/>
        </w:rPr>
        <w:t>Based on the research conducted on PT Japfa Comfeed Indonesia Tbk during the period 2015–2024, it can be concluded that activity ratios have a significant influence on the company's profitability level. The calculation results show that when asset, cash, receivables, and inventory turnover are efficient, the profitability level also increases. Conversely, a decrease in asset management effectiveness affects a decrease in the company's profits.</w:t>
      </w:r>
    </w:p>
    <w:p w14:paraId="5C7FCB38" w14:textId="77777777" w:rsidR="00A63EA4" w:rsidRDefault="00A63EA4" w:rsidP="00A63EA4">
      <w:pPr>
        <w:jc w:val="both"/>
        <w:rPr>
          <w:rFonts w:ascii="Book Antiqua" w:hAnsi="Book Antiqua"/>
          <w:lang w:val="en-US"/>
        </w:rPr>
      </w:pPr>
      <w:r>
        <w:rPr>
          <w:rFonts w:ascii="Book Antiqua" w:hAnsi="Book Antiqua"/>
          <w:lang w:val="en-US"/>
        </w:rPr>
        <w:tab/>
      </w:r>
      <w:r w:rsidRPr="00A63EA4">
        <w:rPr>
          <w:rFonts w:ascii="Book Antiqua" w:hAnsi="Book Antiqua"/>
          <w:lang w:val="en-US"/>
        </w:rPr>
        <w:t>Overall, the activity ratio performance of PT Japfa Comfeed Indonesia Tbk shows a fluctuating and generally declining trend, particularly in Cash Turn Over (CTO) and Receivable Turn Over (RTO), indicating a need for improved efficiency in cash and accounts receivable management. Meanwhile, profitability ratios such as Gross Profit Margin (GPM), Net Profit Margin (NPM), Return on Asset (ROA), and Return on Equity (ROE) also exhibit a pattern consistent with changes in activity ratios. The increase in 2024 indicates that the company successfully improved its operational efficiency.</w:t>
      </w:r>
    </w:p>
    <w:p w14:paraId="76179987" w14:textId="2DA410F7" w:rsidR="00A63EA4" w:rsidRDefault="00A63EA4" w:rsidP="00A63EA4">
      <w:pPr>
        <w:jc w:val="both"/>
        <w:rPr>
          <w:rFonts w:ascii="Book Antiqua" w:hAnsi="Book Antiqua"/>
          <w:lang w:val="en-US"/>
        </w:rPr>
      </w:pPr>
      <w:r>
        <w:rPr>
          <w:rFonts w:ascii="Book Antiqua" w:hAnsi="Book Antiqua"/>
          <w:lang w:val="en-US"/>
        </w:rPr>
        <w:tab/>
      </w:r>
      <w:r w:rsidRPr="00A63EA4">
        <w:rPr>
          <w:rFonts w:ascii="Book Antiqua" w:hAnsi="Book Antiqua"/>
          <w:lang w:val="en-US"/>
        </w:rPr>
        <w:t xml:space="preserve">Thus, it can be concluded that the higher the activity ratio, the higher the company's profitability level. Therefore, the management of PT Japfa Comfeed Indonesia Tbk needs to continuously improve asset management efficiency and </w:t>
      </w:r>
      <w:r w:rsidRPr="00A63EA4">
        <w:rPr>
          <w:rFonts w:ascii="Book Antiqua" w:hAnsi="Book Antiqua"/>
          <w:lang w:val="en-US"/>
        </w:rPr>
        <w:lastRenderedPageBreak/>
        <w:t>accelerate the turnover of cash, receivables, and inventory to maintain stability and profitability growth in the future.</w:t>
      </w:r>
    </w:p>
    <w:p w14:paraId="07DDAF9D" w14:textId="21B20F94" w:rsidR="007E0AE8" w:rsidRPr="000A1F91" w:rsidRDefault="007E0AE8" w:rsidP="000A1F91">
      <w:pPr>
        <w:jc w:val="both"/>
        <w:rPr>
          <w:rFonts w:ascii="Book Antiqua" w:hAnsi="Book Antiqua"/>
          <w:lang w:val="en-US"/>
        </w:rPr>
      </w:pPr>
    </w:p>
    <w:p w14:paraId="4EDAEE81" w14:textId="77777777" w:rsidR="00145027" w:rsidRPr="000A1F91" w:rsidRDefault="00145027" w:rsidP="000A1F91">
      <w:pPr>
        <w:jc w:val="both"/>
        <w:rPr>
          <w:rFonts w:ascii="Book Antiqua" w:hAnsi="Book Antiqua"/>
          <w:lang w:val="en-US"/>
        </w:rPr>
      </w:pPr>
    </w:p>
    <w:p w14:paraId="049626EE" w14:textId="383FB107" w:rsidR="00332E38" w:rsidRPr="00332E38" w:rsidRDefault="00332E38" w:rsidP="00332E38">
      <w:pPr>
        <w:jc w:val="both"/>
        <w:rPr>
          <w:rFonts w:ascii="Book Antiqua" w:hAnsi="Book Antiqua"/>
          <w:b/>
          <w:bCs/>
          <w:lang w:val="en-US"/>
        </w:rPr>
      </w:pPr>
      <w:r>
        <w:rPr>
          <w:rFonts w:ascii="Book Antiqua" w:hAnsi="Book Antiqua"/>
          <w:b/>
          <w:bCs/>
          <w:lang w:val="en-US"/>
        </w:rPr>
        <w:t>References</w:t>
      </w:r>
    </w:p>
    <w:p w14:paraId="78E3F7F3" w14:textId="057D1E78" w:rsidR="00332E38" w:rsidRPr="00332E38" w:rsidRDefault="00332E38" w:rsidP="00332E38">
      <w:pPr>
        <w:jc w:val="both"/>
        <w:rPr>
          <w:rFonts w:ascii="Book Antiqua" w:hAnsi="Book Antiqua"/>
          <w:lang w:val="en-US"/>
        </w:rPr>
      </w:pPr>
      <w:r w:rsidRPr="00332E38">
        <w:rPr>
          <w:rFonts w:ascii="Book Antiqua" w:hAnsi="Book Antiqua"/>
          <w:lang w:val="en-US"/>
        </w:rPr>
        <w:t xml:space="preserve">Harahap, Sofyan Syafri. (2020). Critical Analysis of Financial Statements. Jakarta: </w:t>
      </w:r>
      <w:r>
        <w:rPr>
          <w:rFonts w:ascii="Book Antiqua" w:hAnsi="Book Antiqua"/>
          <w:lang w:val="en-US"/>
        </w:rPr>
        <w:tab/>
      </w:r>
      <w:r w:rsidRPr="00332E38">
        <w:rPr>
          <w:rFonts w:ascii="Book Antiqua" w:hAnsi="Book Antiqua"/>
          <w:lang w:val="en-US"/>
        </w:rPr>
        <w:t>Rajawali Pers.</w:t>
      </w:r>
    </w:p>
    <w:p w14:paraId="51DC203A" w14:textId="2C06949F" w:rsidR="00332E38" w:rsidRPr="00332E38" w:rsidRDefault="00332E38" w:rsidP="00332E38">
      <w:pPr>
        <w:jc w:val="both"/>
        <w:rPr>
          <w:rFonts w:ascii="Book Antiqua" w:hAnsi="Book Antiqua"/>
          <w:lang w:val="en-US"/>
        </w:rPr>
      </w:pPr>
      <w:r w:rsidRPr="00332E38">
        <w:rPr>
          <w:rFonts w:ascii="Book Antiqua" w:hAnsi="Book Antiqua"/>
          <w:lang w:val="en-US"/>
        </w:rPr>
        <w:t>Kasmir. (2019). Financial Statement Analysis. Jakarta: Rajawali Pers.</w:t>
      </w:r>
    </w:p>
    <w:p w14:paraId="4FEB07AF" w14:textId="381D633E" w:rsidR="00332E38" w:rsidRPr="00332E38" w:rsidRDefault="00332E38" w:rsidP="00332E38">
      <w:pPr>
        <w:jc w:val="both"/>
        <w:rPr>
          <w:rFonts w:ascii="Book Antiqua" w:hAnsi="Book Antiqua"/>
          <w:lang w:val="en-US"/>
        </w:rPr>
      </w:pPr>
      <w:r w:rsidRPr="00332E38">
        <w:rPr>
          <w:rFonts w:ascii="Book Antiqua" w:hAnsi="Book Antiqua"/>
          <w:lang w:val="en-US"/>
        </w:rPr>
        <w:t xml:space="preserve">Nurimansyah, N. R., &amp; Djawoto. (2024). The Influence of Liquidity Ratios, Activity </w:t>
      </w:r>
      <w:r>
        <w:rPr>
          <w:rFonts w:ascii="Book Antiqua" w:hAnsi="Book Antiqua"/>
          <w:lang w:val="en-US"/>
        </w:rPr>
        <w:tab/>
      </w:r>
      <w:r w:rsidRPr="00332E38">
        <w:rPr>
          <w:rFonts w:ascii="Book Antiqua" w:hAnsi="Book Antiqua"/>
          <w:lang w:val="en-US"/>
        </w:rPr>
        <w:t xml:space="preserve">Ratios, and Solvency Ratios on the Financial Performance of PT Japfa Comfeed </w:t>
      </w:r>
      <w:r>
        <w:rPr>
          <w:rFonts w:ascii="Book Antiqua" w:hAnsi="Book Antiqua"/>
          <w:lang w:val="en-US"/>
        </w:rPr>
        <w:tab/>
      </w:r>
      <w:r w:rsidRPr="00332E38">
        <w:rPr>
          <w:rFonts w:ascii="Book Antiqua" w:hAnsi="Book Antiqua"/>
          <w:lang w:val="en-US"/>
        </w:rPr>
        <w:t>Indonesia Tbk. Journal of Management Science and Research, 13(7), 1–18.</w:t>
      </w:r>
    </w:p>
    <w:p w14:paraId="42EAEDA3" w14:textId="5A7512D2" w:rsidR="00332E38" w:rsidRPr="00332E38" w:rsidRDefault="00332E38" w:rsidP="00332E38">
      <w:pPr>
        <w:jc w:val="both"/>
        <w:rPr>
          <w:rFonts w:ascii="Book Antiqua" w:hAnsi="Book Antiqua"/>
          <w:lang w:val="en-US"/>
        </w:rPr>
      </w:pPr>
      <w:r w:rsidRPr="00332E38">
        <w:rPr>
          <w:rFonts w:ascii="Book Antiqua" w:hAnsi="Book Antiqua"/>
          <w:lang w:val="en-US"/>
        </w:rPr>
        <w:t xml:space="preserve">Silitonga, H. P., Siregar, L., Tarigan, P., &amp; Inrawan, A. (2017). The Influence of </w:t>
      </w:r>
      <w:r>
        <w:rPr>
          <w:rFonts w:ascii="Book Antiqua" w:hAnsi="Book Antiqua"/>
          <w:lang w:val="en-US"/>
        </w:rPr>
        <w:tab/>
      </w:r>
      <w:r w:rsidRPr="00332E38">
        <w:rPr>
          <w:rFonts w:ascii="Book Antiqua" w:hAnsi="Book Antiqua"/>
          <w:lang w:val="en-US"/>
        </w:rPr>
        <w:t xml:space="preserve">Liquidity and Leverage on Profitability at PT Japfa Comfeed Indonesia, Tbk., </w:t>
      </w:r>
      <w:r>
        <w:rPr>
          <w:rFonts w:ascii="Book Antiqua" w:hAnsi="Book Antiqua"/>
          <w:lang w:val="en-US"/>
        </w:rPr>
        <w:tab/>
      </w:r>
      <w:r w:rsidRPr="00332E38">
        <w:rPr>
          <w:rFonts w:ascii="Book Antiqua" w:hAnsi="Book Antiqua"/>
          <w:lang w:val="en-US"/>
        </w:rPr>
        <w:t xml:space="preserve">Listed on the Indonesia Stock Exchange. Financial: Journal of Accounting, 3(1), </w:t>
      </w:r>
      <w:r>
        <w:rPr>
          <w:rFonts w:ascii="Book Antiqua" w:hAnsi="Book Antiqua"/>
          <w:lang w:val="en-US"/>
        </w:rPr>
        <w:tab/>
      </w:r>
      <w:r w:rsidRPr="00332E38">
        <w:rPr>
          <w:rFonts w:ascii="Book Antiqua" w:hAnsi="Book Antiqua"/>
          <w:lang w:val="en-US"/>
        </w:rPr>
        <w:t>1–9.</w:t>
      </w:r>
    </w:p>
    <w:p w14:paraId="4C158757" w14:textId="585FDF33" w:rsidR="00332E38" w:rsidRPr="00332E38" w:rsidRDefault="00332E38" w:rsidP="00332E38">
      <w:pPr>
        <w:jc w:val="both"/>
        <w:rPr>
          <w:rFonts w:ascii="Book Antiqua" w:hAnsi="Book Antiqua"/>
          <w:lang w:val="en-US"/>
        </w:rPr>
      </w:pPr>
      <w:r w:rsidRPr="00332E38">
        <w:rPr>
          <w:rFonts w:ascii="Book Antiqua" w:hAnsi="Book Antiqua"/>
          <w:lang w:val="en-US"/>
        </w:rPr>
        <w:t xml:space="preserve">PT Japfa Comfeed Indonesia Tbk. (2024). Annual Report of PT Japfa Comfeed </w:t>
      </w:r>
      <w:r>
        <w:rPr>
          <w:rFonts w:ascii="Book Antiqua" w:hAnsi="Book Antiqua"/>
          <w:lang w:val="en-US"/>
        </w:rPr>
        <w:tab/>
      </w:r>
      <w:r w:rsidRPr="00332E38">
        <w:rPr>
          <w:rFonts w:ascii="Book Antiqua" w:hAnsi="Book Antiqua"/>
          <w:lang w:val="en-US"/>
        </w:rPr>
        <w:t xml:space="preserve">Indonesia Tbk for the Years 2015–2024. Accessed from </w:t>
      </w:r>
      <w:r>
        <w:rPr>
          <w:rFonts w:ascii="Book Antiqua" w:hAnsi="Book Antiqua"/>
          <w:lang w:val="en-US"/>
        </w:rPr>
        <w:tab/>
      </w:r>
      <w:hyperlink r:id="rId12" w:history="1">
        <w:r w:rsidRPr="00833319">
          <w:rPr>
            <w:rStyle w:val="Hyperlink"/>
            <w:rFonts w:ascii="Book Antiqua" w:hAnsi="Book Antiqua"/>
            <w:lang w:val="en-US"/>
          </w:rPr>
          <w:t>https://www.japfacomfeed.co.id/laporan-tahunan</w:t>
        </w:r>
      </w:hyperlink>
      <w:r>
        <w:rPr>
          <w:rFonts w:ascii="Book Antiqua" w:hAnsi="Book Antiqua"/>
          <w:lang w:val="en-US"/>
        </w:rPr>
        <w:t xml:space="preserve"> </w:t>
      </w:r>
    </w:p>
    <w:p w14:paraId="2439CF10" w14:textId="71028A5B" w:rsidR="00332E38" w:rsidRPr="00332E38" w:rsidRDefault="00332E38" w:rsidP="00332E38">
      <w:pPr>
        <w:jc w:val="both"/>
        <w:rPr>
          <w:rFonts w:ascii="Book Antiqua" w:hAnsi="Book Antiqua"/>
          <w:lang w:val="en-US"/>
        </w:rPr>
      </w:pPr>
      <w:r w:rsidRPr="00332E38">
        <w:rPr>
          <w:rFonts w:ascii="Book Antiqua" w:hAnsi="Book Antiqua"/>
          <w:lang w:val="en-US"/>
        </w:rPr>
        <w:t xml:space="preserve">Investopedia. (2023). Financial Ratios: Understanding Activity and Profitability </w:t>
      </w:r>
      <w:r>
        <w:rPr>
          <w:rFonts w:ascii="Book Antiqua" w:hAnsi="Book Antiqua"/>
          <w:lang w:val="en-US"/>
        </w:rPr>
        <w:tab/>
      </w:r>
      <w:r w:rsidRPr="00332E38">
        <w:rPr>
          <w:rFonts w:ascii="Book Antiqua" w:hAnsi="Book Antiqua"/>
          <w:lang w:val="en-US"/>
        </w:rPr>
        <w:t xml:space="preserve">Ratios. Retrieved from </w:t>
      </w:r>
      <w:hyperlink r:id="rId13" w:history="1">
        <w:r w:rsidRPr="00833319">
          <w:rPr>
            <w:rStyle w:val="Hyperlink"/>
            <w:rFonts w:ascii="Book Antiqua" w:hAnsi="Book Antiqua"/>
            <w:lang w:val="en-US"/>
          </w:rPr>
          <w:t>https://www.investopedia.com/</w:t>
        </w:r>
      </w:hyperlink>
      <w:r>
        <w:rPr>
          <w:rFonts w:ascii="Book Antiqua" w:hAnsi="Book Antiqua"/>
          <w:lang w:val="en-US"/>
        </w:rPr>
        <w:t xml:space="preserve"> </w:t>
      </w:r>
    </w:p>
    <w:p w14:paraId="58C96FA7" w14:textId="733FCD8E" w:rsidR="00332E38" w:rsidRPr="00332E38" w:rsidRDefault="00332E38" w:rsidP="00332E38">
      <w:pPr>
        <w:jc w:val="both"/>
        <w:rPr>
          <w:rFonts w:ascii="Book Antiqua" w:hAnsi="Book Antiqua"/>
          <w:lang w:val="en-US"/>
        </w:rPr>
      </w:pPr>
      <w:r w:rsidRPr="00332E38">
        <w:rPr>
          <w:rFonts w:ascii="Book Antiqua" w:hAnsi="Book Antiqua"/>
          <w:lang w:val="en-US"/>
        </w:rPr>
        <w:t xml:space="preserve">Financial Services Authority (OJK). (2024). Issuer Data: PT Japfa Comfeed Indonesia </w:t>
      </w:r>
      <w:r>
        <w:rPr>
          <w:rFonts w:ascii="Book Antiqua" w:hAnsi="Book Antiqua"/>
          <w:lang w:val="en-US"/>
        </w:rPr>
        <w:tab/>
      </w:r>
      <w:r w:rsidRPr="00332E38">
        <w:rPr>
          <w:rFonts w:ascii="Book Antiqua" w:hAnsi="Book Antiqua"/>
          <w:lang w:val="en-US"/>
        </w:rPr>
        <w:t xml:space="preserve">Tbk (JPFA). Accessed from </w:t>
      </w:r>
      <w:hyperlink r:id="rId14" w:history="1">
        <w:r w:rsidRPr="00833319">
          <w:rPr>
            <w:rStyle w:val="Hyperlink"/>
            <w:rFonts w:ascii="Book Antiqua" w:hAnsi="Book Antiqua"/>
            <w:lang w:val="en-US"/>
          </w:rPr>
          <w:t>https://www.ojk.go.id/</w:t>
        </w:r>
      </w:hyperlink>
      <w:r>
        <w:rPr>
          <w:rFonts w:ascii="Book Antiqua" w:hAnsi="Book Antiqua"/>
          <w:lang w:val="en-US"/>
        </w:rPr>
        <w:t xml:space="preserve"> </w:t>
      </w:r>
    </w:p>
    <w:p w14:paraId="6BD4B3CE" w14:textId="77777777" w:rsidR="000D1B01" w:rsidRPr="000A1F91" w:rsidRDefault="000D1B01" w:rsidP="000A1F91">
      <w:pPr>
        <w:jc w:val="both"/>
        <w:rPr>
          <w:rFonts w:ascii="Book Antiqua" w:hAnsi="Book Antiqua"/>
          <w:lang w:val="en-US"/>
        </w:rPr>
      </w:pPr>
    </w:p>
    <w:p w14:paraId="5EA6D261" w14:textId="77777777" w:rsidR="007E0AE8" w:rsidRPr="000A1F91" w:rsidRDefault="007E0AE8" w:rsidP="000A1F91">
      <w:pPr>
        <w:jc w:val="both"/>
        <w:rPr>
          <w:rFonts w:ascii="Book Antiqua" w:hAnsi="Book Antiqua"/>
          <w:lang w:val="en-US"/>
        </w:rPr>
      </w:pPr>
    </w:p>
    <w:p w14:paraId="4ABDE556" w14:textId="34500FFA" w:rsidR="00FC57AC" w:rsidRPr="000A1F91" w:rsidRDefault="00FC57AC" w:rsidP="000A1F91">
      <w:pPr>
        <w:jc w:val="both"/>
        <w:rPr>
          <w:rFonts w:ascii="Book Antiqua" w:hAnsi="Book Antiqua"/>
          <w:lang w:val="en-US"/>
        </w:rPr>
      </w:pPr>
    </w:p>
    <w:sectPr w:rsidR="00FC57AC" w:rsidRPr="000A1F91" w:rsidSect="003E67F3">
      <w:headerReference w:type="default" r:id="rId15"/>
      <w:footerReference w:type="default" r:id="rId16"/>
      <w:headerReference w:type="first" r:id="rId17"/>
      <w:type w:val="evenPage"/>
      <w:pgSz w:w="11906" w:h="16838"/>
      <w:pgMar w:top="1440" w:right="1440" w:bottom="1440" w:left="1440" w:header="720" w:footer="720" w:gutter="0"/>
      <w:pgNumType w:start="7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4C7FF" w14:textId="77777777" w:rsidR="001A6013" w:rsidRDefault="001A6013" w:rsidP="00DD4FC5">
      <w:r>
        <w:separator/>
      </w:r>
    </w:p>
  </w:endnote>
  <w:endnote w:type="continuationSeparator" w:id="0">
    <w:p w14:paraId="1671B5DF" w14:textId="77777777" w:rsidR="001A6013" w:rsidRDefault="001A6013" w:rsidP="00DD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355813"/>
      <w:docPartObj>
        <w:docPartGallery w:val="Page Numbers (Bottom of Page)"/>
        <w:docPartUnique/>
      </w:docPartObj>
    </w:sdtPr>
    <w:sdtEndPr>
      <w:rPr>
        <w:noProof/>
      </w:rPr>
    </w:sdtEndPr>
    <w:sdtContent>
      <w:p w14:paraId="10981EE9" w14:textId="44D785E4" w:rsidR="003E67F3" w:rsidRDefault="003E67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152369" w14:textId="77777777" w:rsidR="003E67F3" w:rsidRDefault="003E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045EB" w14:textId="77777777" w:rsidR="001A6013" w:rsidRDefault="001A6013" w:rsidP="00DD4FC5">
      <w:r>
        <w:separator/>
      </w:r>
    </w:p>
  </w:footnote>
  <w:footnote w:type="continuationSeparator" w:id="0">
    <w:p w14:paraId="6A686CF9" w14:textId="77777777" w:rsidR="001A6013" w:rsidRDefault="001A6013" w:rsidP="00DD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DD4FC5" w14:paraId="4C0E3112" w14:textId="77777777" w:rsidTr="000B7005">
      <w:tc>
        <w:tcPr>
          <w:tcW w:w="2874" w:type="dxa"/>
        </w:tcPr>
        <w:p w14:paraId="20815471" w14:textId="77777777" w:rsidR="00DD4FC5" w:rsidRDefault="00DD4FC5" w:rsidP="00DD4FC5">
          <w:pPr>
            <w:jc w:val="left"/>
            <w:rPr>
              <w:rFonts w:ascii="Book Antiqua" w:hAnsi="Book Antiqua" w:cs="Book Antiqua"/>
              <w:lang w:val="en-US"/>
            </w:rPr>
          </w:pPr>
          <w:r>
            <w:rPr>
              <w:rFonts w:ascii="Book Antiqua" w:hAnsi="Book Antiqua" w:cs="Book Antiqua"/>
              <w:noProof/>
              <w:lang w:val="en-US"/>
            </w:rPr>
            <w:drawing>
              <wp:inline distT="0" distB="0" distL="114300" distR="114300" wp14:anchorId="577D54F5" wp14:editId="7E311789">
                <wp:extent cx="1756410" cy="731520"/>
                <wp:effectExtent l="0" t="0" r="15240" b="11430"/>
                <wp:docPr id="1418505853" name="Picture 8"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1C91342A" w14:textId="77777777" w:rsidR="00DD4FC5" w:rsidRDefault="00DD4FC5" w:rsidP="00DD4FC5">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3505BFF9" w14:textId="2B254DCD" w:rsidR="00DD4FC5" w:rsidRDefault="00DD4FC5" w:rsidP="00DD4FC5">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w:t>
          </w:r>
          <w:r w:rsidR="00065DFB">
            <w:rPr>
              <w:rFonts w:ascii="Book Antiqua" w:hAnsi="Book Antiqua"/>
              <w:color w:val="4472C4" w:themeColor="accent5"/>
              <w:sz w:val="20"/>
              <w:szCs w:val="20"/>
              <w:lang w:val="en-US"/>
            </w:rPr>
            <w:t xml:space="preserve"> 2025</w:t>
          </w:r>
        </w:p>
        <w:p w14:paraId="38A27924" w14:textId="425CAC61" w:rsidR="00DD4FC5" w:rsidRDefault="00065DFB" w:rsidP="00DD4FC5">
          <w:pPr>
            <w:rPr>
              <w:rFonts w:ascii="Book Antiqua" w:hAnsi="Book Antiqua"/>
              <w:sz w:val="28"/>
              <w:szCs w:val="28"/>
              <w:lang w:val="en-US"/>
            </w:rPr>
          </w:pPr>
          <w:r>
            <w:rPr>
              <w:rFonts w:ascii="Book Antiqua" w:hAnsi="Book Antiqua"/>
              <w:color w:val="4472C4" w:themeColor="accent5"/>
              <w:sz w:val="20"/>
              <w:szCs w:val="20"/>
              <w:lang w:val="en-US"/>
            </w:rPr>
            <w:t>e</w:t>
          </w:r>
          <w:r w:rsidR="00DD4FC5">
            <w:rPr>
              <w:rFonts w:ascii="Book Antiqua" w:hAnsi="Book Antiqua"/>
              <w:color w:val="4472C4" w:themeColor="accent5"/>
              <w:sz w:val="20"/>
              <w:szCs w:val="20"/>
              <w:lang w:val="en-US"/>
            </w:rPr>
            <w:t>-</w:t>
          </w:r>
          <w:proofErr w:type="gramStart"/>
          <w:r w:rsidR="00DD4FC5">
            <w:rPr>
              <w:rFonts w:ascii="Book Antiqua" w:hAnsi="Book Antiqua"/>
              <w:color w:val="4472C4" w:themeColor="accent5"/>
              <w:sz w:val="20"/>
              <w:szCs w:val="20"/>
              <w:lang w:val="en-US"/>
            </w:rPr>
            <w:t>ISSN :</w:t>
          </w:r>
          <w:proofErr w:type="gramEnd"/>
          <w:r w:rsidR="00DD4FC5">
            <w:rPr>
              <w:rFonts w:ascii="Book Antiqua" w:hAnsi="Book Antiqua"/>
              <w:color w:val="4472C4" w:themeColor="accent5"/>
              <w:sz w:val="20"/>
              <w:szCs w:val="20"/>
              <w:lang w:val="en-US"/>
            </w:rPr>
            <w:t xml:space="preserve"> XXXX-XXX</w:t>
          </w:r>
        </w:p>
      </w:tc>
    </w:tr>
  </w:tbl>
  <w:p w14:paraId="58A185D2" w14:textId="77777777" w:rsidR="00DD4FC5" w:rsidRDefault="00DD4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F664BA" w14:paraId="0D334342" w14:textId="77777777" w:rsidTr="00322955">
      <w:tc>
        <w:tcPr>
          <w:tcW w:w="2874" w:type="dxa"/>
        </w:tcPr>
        <w:p w14:paraId="62D51D60" w14:textId="77777777" w:rsidR="00F664BA" w:rsidRDefault="00F664BA" w:rsidP="00F664BA">
          <w:pPr>
            <w:jc w:val="left"/>
            <w:rPr>
              <w:rFonts w:ascii="Book Antiqua" w:hAnsi="Book Antiqua" w:cs="Book Antiqua"/>
              <w:lang w:val="en-US"/>
            </w:rPr>
          </w:pPr>
          <w:r>
            <w:rPr>
              <w:rFonts w:ascii="Book Antiqua" w:hAnsi="Book Antiqua" w:cs="Book Antiqua"/>
              <w:noProof/>
              <w:lang w:val="en-US"/>
            </w:rPr>
            <w:drawing>
              <wp:inline distT="0" distB="0" distL="114300" distR="114300" wp14:anchorId="02A7E504" wp14:editId="7E097A1B">
                <wp:extent cx="1756410" cy="731520"/>
                <wp:effectExtent l="0" t="0" r="15240" b="11430"/>
                <wp:docPr id="3" name="Picture 8"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24D4D2AE" w14:textId="77777777" w:rsidR="00F664BA" w:rsidRDefault="00F664BA" w:rsidP="00F664BA">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13A318C8" w14:textId="77777777" w:rsidR="00F664BA" w:rsidRDefault="00F664BA" w:rsidP="00F664BA">
          <w:pPr>
            <w:rPr>
              <w:rFonts w:ascii="Book Antiqua" w:hAnsi="Book Antiqua"/>
              <w:color w:val="4472C4" w:themeColor="accent5"/>
              <w:sz w:val="20"/>
              <w:szCs w:val="20"/>
              <w:lang w:val="en-US"/>
            </w:rPr>
          </w:pPr>
          <w:r>
            <w:rPr>
              <w:rFonts w:ascii="Book Antiqua" w:hAnsi="Book Antiqua"/>
              <w:color w:val="4472C4" w:themeColor="accent5"/>
              <w:sz w:val="20"/>
              <w:szCs w:val="20"/>
              <w:lang w:val="en-US"/>
            </w:rPr>
            <w:t>Vo. 1 No. 1 2025</w:t>
          </w:r>
        </w:p>
        <w:p w14:paraId="72FA73A4" w14:textId="77777777" w:rsidR="00F664BA" w:rsidRDefault="00F664BA" w:rsidP="00F664BA">
          <w:pPr>
            <w:rPr>
              <w:rFonts w:ascii="Book Antiqua" w:hAnsi="Book Antiqua"/>
              <w:sz w:val="28"/>
              <w:szCs w:val="28"/>
              <w:lang w:val="en-US"/>
            </w:rPr>
          </w:pPr>
          <w:r>
            <w:rPr>
              <w:rFonts w:ascii="Book Antiqua" w:hAnsi="Book Antiqua"/>
              <w:color w:val="4472C4" w:themeColor="accent5"/>
              <w:sz w:val="20"/>
              <w:szCs w:val="20"/>
              <w:lang w:val="en-US"/>
            </w:rPr>
            <w:t>e-</w:t>
          </w:r>
          <w:proofErr w:type="gramStart"/>
          <w:r>
            <w:rPr>
              <w:rFonts w:ascii="Book Antiqua" w:hAnsi="Book Antiqua"/>
              <w:color w:val="4472C4" w:themeColor="accent5"/>
              <w:sz w:val="20"/>
              <w:szCs w:val="20"/>
              <w:lang w:val="en-US"/>
            </w:rPr>
            <w:t>ISSN :</w:t>
          </w:r>
          <w:proofErr w:type="gramEnd"/>
          <w:r>
            <w:rPr>
              <w:rFonts w:ascii="Book Antiqua" w:hAnsi="Book Antiqua"/>
              <w:color w:val="4472C4" w:themeColor="accent5"/>
              <w:sz w:val="20"/>
              <w:szCs w:val="20"/>
              <w:lang w:val="en-US"/>
            </w:rPr>
            <w:t xml:space="preserve"> XXXX-XXX</w:t>
          </w:r>
        </w:p>
      </w:tc>
    </w:tr>
  </w:tbl>
  <w:p w14:paraId="48E70C5E" w14:textId="77777777" w:rsidR="00F664BA" w:rsidRPr="00F664BA" w:rsidRDefault="00F664BA">
    <w:pPr>
      <w:pStyle w:val="Header"/>
      <w:rPr>
        <w:rFonts w:eastAsiaTheme="minor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BB344A"/>
    <w:multiLevelType w:val="singleLevel"/>
    <w:tmpl w:val="C8BB344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4D35ED0"/>
    <w:multiLevelType w:val="singleLevel"/>
    <w:tmpl w:val="F4D35ED0"/>
    <w:lvl w:ilvl="0">
      <w:start w:val="1"/>
      <w:numFmt w:val="decimal"/>
      <w:lvlText w:val="%1."/>
      <w:lvlJc w:val="left"/>
      <w:pPr>
        <w:tabs>
          <w:tab w:val="left" w:pos="425"/>
        </w:tabs>
        <w:ind w:left="425" w:hanging="425"/>
      </w:pPr>
      <w:rPr>
        <w:rFonts w:hint="default"/>
      </w:rPr>
    </w:lvl>
  </w:abstractNum>
  <w:abstractNum w:abstractNumId="2" w15:restartNumberingAfterBreak="0">
    <w:nsid w:val="01FB19F4"/>
    <w:multiLevelType w:val="hybridMultilevel"/>
    <w:tmpl w:val="BDD07DD0"/>
    <w:lvl w:ilvl="0" w:tplc="2B248F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A05F0"/>
    <w:multiLevelType w:val="singleLevel"/>
    <w:tmpl w:val="0F1A05F0"/>
    <w:lvl w:ilvl="0">
      <w:start w:val="1"/>
      <w:numFmt w:val="decimal"/>
      <w:lvlText w:val="%1."/>
      <w:lvlJc w:val="left"/>
      <w:pPr>
        <w:tabs>
          <w:tab w:val="left" w:pos="425"/>
        </w:tabs>
        <w:ind w:left="425" w:hanging="425"/>
      </w:pPr>
      <w:rPr>
        <w:rFonts w:hint="default"/>
      </w:rPr>
    </w:lvl>
  </w:abstractNum>
  <w:abstractNum w:abstractNumId="4" w15:restartNumberingAfterBreak="0">
    <w:nsid w:val="320B0EB1"/>
    <w:multiLevelType w:val="hybridMultilevel"/>
    <w:tmpl w:val="3806BD4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4420957"/>
    <w:multiLevelType w:val="hybridMultilevel"/>
    <w:tmpl w:val="D64CA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73207A"/>
    <w:multiLevelType w:val="hybridMultilevel"/>
    <w:tmpl w:val="2E5CEB3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045BF"/>
    <w:multiLevelType w:val="hybridMultilevel"/>
    <w:tmpl w:val="0228F14A"/>
    <w:lvl w:ilvl="0" w:tplc="349E1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44EAE"/>
    <w:multiLevelType w:val="hybridMultilevel"/>
    <w:tmpl w:val="D64CAF6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C5884A"/>
    <w:multiLevelType w:val="singleLevel"/>
    <w:tmpl w:val="68C5884A"/>
    <w:lvl w:ilvl="0">
      <w:start w:val="1"/>
      <w:numFmt w:val="decimal"/>
      <w:lvlText w:val="%1."/>
      <w:lvlJc w:val="left"/>
      <w:pPr>
        <w:tabs>
          <w:tab w:val="left" w:pos="425"/>
        </w:tabs>
        <w:ind w:left="425" w:hanging="425"/>
      </w:pPr>
      <w:rPr>
        <w:rFonts w:hint="default"/>
      </w:rPr>
    </w:lvl>
  </w:abstractNum>
  <w:abstractNum w:abstractNumId="10" w15:restartNumberingAfterBreak="0">
    <w:nsid w:val="6B5A2464"/>
    <w:multiLevelType w:val="hybridMultilevel"/>
    <w:tmpl w:val="ACAA9252"/>
    <w:lvl w:ilvl="0" w:tplc="18EA23D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0"/>
  </w:num>
  <w:num w:numId="5">
    <w:abstractNumId w:val="4"/>
  </w:num>
  <w:num w:numId="6">
    <w:abstractNumId w:val="6"/>
  </w:num>
  <w:num w:numId="7">
    <w:abstractNumId w:val="8"/>
  </w:num>
  <w:num w:numId="8">
    <w:abstractNumId w:val="7"/>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B012FF"/>
    <w:rsid w:val="00011C07"/>
    <w:rsid w:val="00065DFB"/>
    <w:rsid w:val="00093855"/>
    <w:rsid w:val="000A1F91"/>
    <w:rsid w:val="000D1B01"/>
    <w:rsid w:val="00106E61"/>
    <w:rsid w:val="00111EF3"/>
    <w:rsid w:val="0011423C"/>
    <w:rsid w:val="00117D8D"/>
    <w:rsid w:val="00126908"/>
    <w:rsid w:val="001436F0"/>
    <w:rsid w:val="00145027"/>
    <w:rsid w:val="00160BEC"/>
    <w:rsid w:val="001A04C0"/>
    <w:rsid w:val="001A6013"/>
    <w:rsid w:val="001E6D17"/>
    <w:rsid w:val="00213483"/>
    <w:rsid w:val="002A59C4"/>
    <w:rsid w:val="002B1CE5"/>
    <w:rsid w:val="002E595F"/>
    <w:rsid w:val="002F2C5C"/>
    <w:rsid w:val="00332E38"/>
    <w:rsid w:val="00355603"/>
    <w:rsid w:val="003C4FE0"/>
    <w:rsid w:val="003E3830"/>
    <w:rsid w:val="003E4784"/>
    <w:rsid w:val="003E67F3"/>
    <w:rsid w:val="00406DB5"/>
    <w:rsid w:val="004138A5"/>
    <w:rsid w:val="004B2CD7"/>
    <w:rsid w:val="005048C5"/>
    <w:rsid w:val="005408A7"/>
    <w:rsid w:val="00547509"/>
    <w:rsid w:val="00574B72"/>
    <w:rsid w:val="00592A5A"/>
    <w:rsid w:val="005956EE"/>
    <w:rsid w:val="005E2E90"/>
    <w:rsid w:val="00660D8E"/>
    <w:rsid w:val="00662B11"/>
    <w:rsid w:val="00685188"/>
    <w:rsid w:val="006E60F5"/>
    <w:rsid w:val="007576BD"/>
    <w:rsid w:val="00763E73"/>
    <w:rsid w:val="007A5259"/>
    <w:rsid w:val="007E0AE8"/>
    <w:rsid w:val="007E13F3"/>
    <w:rsid w:val="00835111"/>
    <w:rsid w:val="00881026"/>
    <w:rsid w:val="008B1C81"/>
    <w:rsid w:val="008C260E"/>
    <w:rsid w:val="008C73DF"/>
    <w:rsid w:val="008D68C3"/>
    <w:rsid w:val="00906C9E"/>
    <w:rsid w:val="00912EC6"/>
    <w:rsid w:val="00913B94"/>
    <w:rsid w:val="00956838"/>
    <w:rsid w:val="009841DC"/>
    <w:rsid w:val="0099230A"/>
    <w:rsid w:val="009B52E3"/>
    <w:rsid w:val="009D7402"/>
    <w:rsid w:val="009F4619"/>
    <w:rsid w:val="00A035D3"/>
    <w:rsid w:val="00A52BE8"/>
    <w:rsid w:val="00A63EA4"/>
    <w:rsid w:val="00A76973"/>
    <w:rsid w:val="00A8474A"/>
    <w:rsid w:val="00AA2B1D"/>
    <w:rsid w:val="00AC136E"/>
    <w:rsid w:val="00AD236C"/>
    <w:rsid w:val="00AD62CC"/>
    <w:rsid w:val="00B32235"/>
    <w:rsid w:val="00B322F7"/>
    <w:rsid w:val="00B53787"/>
    <w:rsid w:val="00BE3CEA"/>
    <w:rsid w:val="00BF272A"/>
    <w:rsid w:val="00C12926"/>
    <w:rsid w:val="00C34958"/>
    <w:rsid w:val="00C446F2"/>
    <w:rsid w:val="00C736EB"/>
    <w:rsid w:val="00C91ECA"/>
    <w:rsid w:val="00CE47A4"/>
    <w:rsid w:val="00D20C20"/>
    <w:rsid w:val="00D25954"/>
    <w:rsid w:val="00D41D7C"/>
    <w:rsid w:val="00D7358F"/>
    <w:rsid w:val="00DD4FC5"/>
    <w:rsid w:val="00DF2C96"/>
    <w:rsid w:val="00E0292D"/>
    <w:rsid w:val="00E12EB7"/>
    <w:rsid w:val="00E439A7"/>
    <w:rsid w:val="00E67C5D"/>
    <w:rsid w:val="00ED7B8C"/>
    <w:rsid w:val="00F23795"/>
    <w:rsid w:val="00F43535"/>
    <w:rsid w:val="00F664BA"/>
    <w:rsid w:val="00F722FD"/>
    <w:rsid w:val="00F926EF"/>
    <w:rsid w:val="00FC57AC"/>
    <w:rsid w:val="00FD0525"/>
    <w:rsid w:val="00FE7E08"/>
    <w:rsid w:val="62B0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10F13"/>
  <w15:docId w15:val="{E748638C-8060-4B85-ACEE-8318D4DC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619"/>
    <w:rPr>
      <w:rFonts w:ascii="Cambria" w:eastAsia="Cambria" w:hAnsi="Cambria" w:cs="Cambria"/>
      <w:sz w:val="24"/>
      <w:szCs w:val="24"/>
      <w:lang w:val="zh-CN"/>
    </w:rPr>
  </w:style>
  <w:style w:type="paragraph" w:styleId="Heading2">
    <w:name w:val="heading 2"/>
    <w:basedOn w:val="Normal"/>
    <w:next w:val="Normal"/>
    <w:link w:val="Heading2Char"/>
    <w:semiHidden/>
    <w:unhideWhenUsed/>
    <w:qFormat/>
    <w:rsid w:val="0068518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8474A"/>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2">
    <w:name w:val="_Style 32"/>
    <w:basedOn w:val="TableNormal0"/>
    <w:qFormat/>
    <w:tblPr>
      <w:tblCellMar>
        <w:left w:w="108" w:type="dxa"/>
        <w:right w:w="108" w:type="dxa"/>
      </w:tblCellMar>
    </w:tblPr>
  </w:style>
  <w:style w:type="table" w:customStyle="1" w:styleId="TableNormal0">
    <w:name w:val="TableNormal"/>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E0AE8"/>
    <w:rPr>
      <w:color w:val="605E5C"/>
      <w:shd w:val="clear" w:color="auto" w:fill="E1DFDD"/>
    </w:rPr>
  </w:style>
  <w:style w:type="paragraph" w:styleId="ListParagraph">
    <w:name w:val="List Paragraph"/>
    <w:basedOn w:val="Normal"/>
    <w:uiPriority w:val="99"/>
    <w:rsid w:val="007E0AE8"/>
    <w:pPr>
      <w:ind w:left="720"/>
      <w:contextualSpacing/>
    </w:pPr>
  </w:style>
  <w:style w:type="paragraph" w:styleId="Caption">
    <w:name w:val="caption"/>
    <w:basedOn w:val="Normal"/>
    <w:next w:val="Normal"/>
    <w:unhideWhenUsed/>
    <w:qFormat/>
    <w:rsid w:val="008B1C81"/>
    <w:pPr>
      <w:spacing w:after="200"/>
    </w:pPr>
    <w:rPr>
      <w:i/>
      <w:iCs/>
      <w:color w:val="44546A" w:themeColor="text2"/>
      <w:sz w:val="18"/>
      <w:szCs w:val="18"/>
    </w:rPr>
  </w:style>
  <w:style w:type="character" w:customStyle="1" w:styleId="Heading3Char">
    <w:name w:val="Heading 3 Char"/>
    <w:basedOn w:val="DefaultParagraphFont"/>
    <w:link w:val="Heading3"/>
    <w:uiPriority w:val="9"/>
    <w:rsid w:val="00A8474A"/>
    <w:rPr>
      <w:rFonts w:eastAsia="Times New Roman"/>
      <w:b/>
      <w:bCs/>
      <w:sz w:val="27"/>
      <w:szCs w:val="27"/>
    </w:rPr>
  </w:style>
  <w:style w:type="paragraph" w:styleId="NormalWeb">
    <w:name w:val="Normal (Web)"/>
    <w:basedOn w:val="Normal"/>
    <w:uiPriority w:val="99"/>
    <w:unhideWhenUsed/>
    <w:rsid w:val="00A8474A"/>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A8474A"/>
    <w:rPr>
      <w:b/>
      <w:bCs/>
    </w:rPr>
  </w:style>
  <w:style w:type="character" w:customStyle="1" w:styleId="Heading2Char">
    <w:name w:val="Heading 2 Char"/>
    <w:basedOn w:val="DefaultParagraphFont"/>
    <w:link w:val="Heading2"/>
    <w:semiHidden/>
    <w:rsid w:val="00685188"/>
    <w:rPr>
      <w:rFonts w:asciiTheme="majorHAnsi" w:eastAsiaTheme="majorEastAsia" w:hAnsiTheme="majorHAnsi" w:cstheme="majorBidi"/>
      <w:color w:val="2E74B5" w:themeColor="accent1" w:themeShade="BF"/>
      <w:sz w:val="26"/>
      <w:szCs w:val="26"/>
      <w:lang w:val="zh-CN"/>
    </w:rPr>
  </w:style>
  <w:style w:type="character" w:customStyle="1" w:styleId="FooterChar">
    <w:name w:val="Footer Char"/>
    <w:basedOn w:val="DefaultParagraphFont"/>
    <w:link w:val="Footer"/>
    <w:uiPriority w:val="99"/>
    <w:rsid w:val="003E67F3"/>
    <w:rPr>
      <w:rFonts w:ascii="Cambria" w:eastAsia="Cambria" w:hAnsi="Cambria" w:cs="Cambria"/>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2237">
      <w:bodyDiv w:val="1"/>
      <w:marLeft w:val="0"/>
      <w:marRight w:val="0"/>
      <w:marTop w:val="0"/>
      <w:marBottom w:val="0"/>
      <w:divBdr>
        <w:top w:val="none" w:sz="0" w:space="0" w:color="auto"/>
        <w:left w:val="none" w:sz="0" w:space="0" w:color="auto"/>
        <w:bottom w:val="none" w:sz="0" w:space="0" w:color="auto"/>
        <w:right w:val="none" w:sz="0" w:space="0" w:color="auto"/>
      </w:divBdr>
    </w:div>
    <w:div w:id="1067919255">
      <w:bodyDiv w:val="1"/>
      <w:marLeft w:val="0"/>
      <w:marRight w:val="0"/>
      <w:marTop w:val="0"/>
      <w:marBottom w:val="0"/>
      <w:divBdr>
        <w:top w:val="none" w:sz="0" w:space="0" w:color="auto"/>
        <w:left w:val="none" w:sz="0" w:space="0" w:color="auto"/>
        <w:bottom w:val="none" w:sz="0" w:space="0" w:color="auto"/>
        <w:right w:val="none" w:sz="0" w:space="0" w:color="auto"/>
      </w:divBdr>
    </w:div>
    <w:div w:id="1137602457">
      <w:bodyDiv w:val="1"/>
      <w:marLeft w:val="0"/>
      <w:marRight w:val="0"/>
      <w:marTop w:val="0"/>
      <w:marBottom w:val="0"/>
      <w:divBdr>
        <w:top w:val="none" w:sz="0" w:space="0" w:color="auto"/>
        <w:left w:val="none" w:sz="0" w:space="0" w:color="auto"/>
        <w:bottom w:val="none" w:sz="0" w:space="0" w:color="auto"/>
        <w:right w:val="none" w:sz="0" w:space="0" w:color="auto"/>
      </w:divBdr>
    </w:div>
    <w:div w:id="1450465958">
      <w:bodyDiv w:val="1"/>
      <w:marLeft w:val="0"/>
      <w:marRight w:val="0"/>
      <w:marTop w:val="0"/>
      <w:marBottom w:val="0"/>
      <w:divBdr>
        <w:top w:val="none" w:sz="0" w:space="0" w:color="auto"/>
        <w:left w:val="none" w:sz="0" w:space="0" w:color="auto"/>
        <w:bottom w:val="none" w:sz="0" w:space="0" w:color="auto"/>
        <w:right w:val="none" w:sz="0" w:space="0" w:color="auto"/>
      </w:divBdr>
    </w:div>
    <w:div w:id="1568613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ssaaudina2912@gmail.com" TargetMode="External"/><Relationship Id="rId13" Type="http://schemas.openxmlformats.org/officeDocument/2006/relationships/hyperlink" Target="https://www.investopedi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apfacomfeed.co.id/laporan-tahuna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apfacomfeed.co.id/laporan-tahunan" TargetMode="External"/><Relationship Id="rId14" Type="http://schemas.openxmlformats.org/officeDocument/2006/relationships/hyperlink" Target="https://www.ojk.g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87912-8613-4115-BC53-A5911DAA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2982</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anum nuryani</dc:creator>
  <cp:lastModifiedBy>TURNITIN 2</cp:lastModifiedBy>
  <cp:revision>3</cp:revision>
  <dcterms:created xsi:type="dcterms:W3CDTF">2025-11-26T05:32:00Z</dcterms:created>
  <dcterms:modified xsi:type="dcterms:W3CDTF">2026-01-06T04:57:00Z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CD776D86EE214040BB79FAC06D4FFD71_11</vt:lpwstr>
  </property>
</Properties>
</file>