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31A4" w14:textId="77777777" w:rsidR="009B1C17" w:rsidRPr="002979FC" w:rsidRDefault="009B1C17" w:rsidP="0041547B">
      <w:pPr>
        <w:spacing w:after="0" w:line="240" w:lineRule="auto"/>
        <w:rPr>
          <w:rFonts w:ascii="Book Antiqua" w:hAnsi="Book Antiqua"/>
          <w:b/>
          <w:i/>
          <w:sz w:val="24"/>
          <w:szCs w:val="24"/>
        </w:rPr>
      </w:pPr>
    </w:p>
    <w:p w14:paraId="09D15CD0" w14:textId="77777777" w:rsidR="00E83D6E" w:rsidRPr="002979FC" w:rsidRDefault="002979FC" w:rsidP="00E83D6E">
      <w:pPr>
        <w:spacing w:after="0" w:line="240" w:lineRule="auto"/>
        <w:jc w:val="center"/>
        <w:rPr>
          <w:rFonts w:ascii="Book Antiqua" w:hAnsi="Book Antiqua"/>
          <w:b/>
          <w:sz w:val="28"/>
          <w:szCs w:val="24"/>
        </w:rPr>
      </w:pPr>
      <w:r>
        <w:rPr>
          <w:rFonts w:ascii="Book Antiqua" w:hAnsi="Book Antiqua"/>
          <w:b/>
          <w:sz w:val="28"/>
          <w:szCs w:val="24"/>
        </w:rPr>
        <w:t xml:space="preserve">FINANCIAL RATIO ANALYSIS TO MEASURE THE </w:t>
      </w:r>
      <w:r w:rsidR="00E83D6E" w:rsidRPr="002979FC">
        <w:rPr>
          <w:rFonts w:ascii="Book Antiqua" w:hAnsi="Book Antiqua"/>
          <w:b/>
          <w:sz w:val="28"/>
          <w:szCs w:val="24"/>
        </w:rPr>
        <w:t>PT SONA TOPAS TOU</w:t>
      </w:r>
      <w:r>
        <w:rPr>
          <w:rFonts w:ascii="Book Antiqua" w:hAnsi="Book Antiqua"/>
          <w:b/>
          <w:sz w:val="28"/>
          <w:szCs w:val="24"/>
        </w:rPr>
        <w:t>RISM INDUSTRY TBK PERFORMANCE</w:t>
      </w:r>
      <w:r w:rsidR="00E83D6E" w:rsidRPr="002979FC">
        <w:rPr>
          <w:rFonts w:ascii="Book Antiqua" w:hAnsi="Book Antiqua"/>
          <w:b/>
          <w:sz w:val="28"/>
          <w:szCs w:val="24"/>
        </w:rPr>
        <w:t xml:space="preserve"> </w:t>
      </w:r>
      <w:r>
        <w:rPr>
          <w:rFonts w:ascii="Book Antiqua" w:hAnsi="Book Antiqua"/>
          <w:b/>
          <w:sz w:val="28"/>
          <w:szCs w:val="24"/>
        </w:rPr>
        <w:t>(</w:t>
      </w:r>
      <w:r w:rsidR="00E83D6E" w:rsidRPr="002979FC">
        <w:rPr>
          <w:rFonts w:ascii="Book Antiqua" w:hAnsi="Book Antiqua"/>
          <w:b/>
          <w:sz w:val="28"/>
          <w:szCs w:val="24"/>
        </w:rPr>
        <w:t>2015–2024</w:t>
      </w:r>
      <w:r>
        <w:rPr>
          <w:rFonts w:ascii="Book Antiqua" w:hAnsi="Book Antiqua"/>
          <w:b/>
          <w:sz w:val="28"/>
          <w:szCs w:val="24"/>
        </w:rPr>
        <w:t>)</w:t>
      </w:r>
    </w:p>
    <w:p w14:paraId="3FE2512F" w14:textId="77777777" w:rsidR="00E83D6E" w:rsidRPr="002979FC" w:rsidRDefault="007A59C7" w:rsidP="007A59C7">
      <w:pPr>
        <w:tabs>
          <w:tab w:val="left" w:pos="5383"/>
        </w:tabs>
        <w:spacing w:after="0" w:line="240" w:lineRule="auto"/>
        <w:rPr>
          <w:rFonts w:ascii="Book Antiqua" w:hAnsi="Book Antiqua"/>
          <w:b/>
          <w:sz w:val="28"/>
          <w:szCs w:val="24"/>
        </w:rPr>
      </w:pPr>
      <w:r w:rsidRPr="002979FC">
        <w:rPr>
          <w:rFonts w:ascii="Book Antiqua" w:hAnsi="Book Antiqua"/>
          <w:b/>
          <w:sz w:val="28"/>
          <w:szCs w:val="24"/>
        </w:rPr>
        <w:tab/>
      </w:r>
    </w:p>
    <w:p w14:paraId="10EBC4C3" w14:textId="375F7BB1" w:rsidR="00E83D6E" w:rsidRPr="002979FC" w:rsidRDefault="00E83D6E" w:rsidP="0041547B">
      <w:pPr>
        <w:spacing w:after="0" w:line="240" w:lineRule="auto"/>
        <w:jc w:val="center"/>
        <w:rPr>
          <w:rFonts w:ascii="Book Antiqua" w:hAnsi="Book Antiqua"/>
          <w:b/>
          <w:sz w:val="24"/>
          <w:szCs w:val="24"/>
        </w:rPr>
      </w:pPr>
      <w:r w:rsidRPr="002979FC">
        <w:rPr>
          <w:rFonts w:ascii="Book Antiqua" w:hAnsi="Book Antiqua"/>
          <w:b/>
          <w:sz w:val="24"/>
          <w:szCs w:val="24"/>
        </w:rPr>
        <w:t>ROBERTO DANDO</w:t>
      </w:r>
    </w:p>
    <w:p w14:paraId="3FE8336C" w14:textId="77777777" w:rsidR="00E83D6E" w:rsidRPr="0041547B" w:rsidRDefault="00E83D6E" w:rsidP="0041547B">
      <w:pPr>
        <w:spacing w:after="0" w:line="240" w:lineRule="auto"/>
        <w:jc w:val="center"/>
        <w:rPr>
          <w:rFonts w:ascii="Book Antiqua" w:hAnsi="Book Antiqua"/>
          <w:bCs/>
          <w:sz w:val="24"/>
          <w:szCs w:val="24"/>
        </w:rPr>
      </w:pPr>
      <w:r w:rsidRPr="0041547B">
        <w:rPr>
          <w:rFonts w:ascii="Book Antiqua" w:hAnsi="Book Antiqua"/>
          <w:bCs/>
          <w:sz w:val="24"/>
          <w:szCs w:val="24"/>
        </w:rPr>
        <w:t>Faculty of Economics and Business,</w:t>
      </w:r>
    </w:p>
    <w:p w14:paraId="4A09941F" w14:textId="77777777" w:rsidR="00E83D6E" w:rsidRPr="0041547B" w:rsidRDefault="00E83D6E" w:rsidP="0041547B">
      <w:pPr>
        <w:spacing w:after="0" w:line="240" w:lineRule="auto"/>
        <w:jc w:val="center"/>
        <w:rPr>
          <w:rFonts w:ascii="Book Antiqua" w:hAnsi="Book Antiqua"/>
          <w:bCs/>
          <w:sz w:val="24"/>
          <w:szCs w:val="24"/>
        </w:rPr>
      </w:pPr>
      <w:r w:rsidRPr="0041547B">
        <w:rPr>
          <w:rFonts w:ascii="Book Antiqua" w:hAnsi="Book Antiqua"/>
          <w:bCs/>
          <w:sz w:val="24"/>
          <w:szCs w:val="24"/>
        </w:rPr>
        <w:t>Management Study Program, Concentration in Financial Management,</w:t>
      </w:r>
    </w:p>
    <w:p w14:paraId="6C843397" w14:textId="77777777" w:rsidR="00E83D6E" w:rsidRPr="0041547B" w:rsidRDefault="00E83D6E" w:rsidP="0041547B">
      <w:pPr>
        <w:spacing w:after="0" w:line="240" w:lineRule="auto"/>
        <w:jc w:val="center"/>
        <w:rPr>
          <w:rFonts w:ascii="Book Antiqua" w:hAnsi="Book Antiqua"/>
          <w:bCs/>
          <w:sz w:val="24"/>
          <w:szCs w:val="24"/>
        </w:rPr>
      </w:pPr>
      <w:proofErr w:type="spellStart"/>
      <w:r w:rsidRPr="0041547B">
        <w:rPr>
          <w:rFonts w:ascii="Book Antiqua" w:hAnsi="Book Antiqua"/>
          <w:bCs/>
          <w:sz w:val="24"/>
          <w:szCs w:val="24"/>
        </w:rPr>
        <w:t>Pamulang</w:t>
      </w:r>
      <w:proofErr w:type="spellEnd"/>
      <w:r w:rsidRPr="0041547B">
        <w:rPr>
          <w:rFonts w:ascii="Book Antiqua" w:hAnsi="Book Antiqua"/>
          <w:bCs/>
          <w:sz w:val="24"/>
          <w:szCs w:val="24"/>
        </w:rPr>
        <w:t xml:space="preserve"> University, South Tangerang</w:t>
      </w:r>
    </w:p>
    <w:p w14:paraId="26BC08E4" w14:textId="231D5556" w:rsidR="00E83D6E" w:rsidRPr="002979FC" w:rsidRDefault="00E83D6E" w:rsidP="0041547B">
      <w:pPr>
        <w:spacing w:after="0" w:line="240" w:lineRule="auto"/>
        <w:jc w:val="center"/>
        <w:rPr>
          <w:rFonts w:ascii="Book Antiqua" w:hAnsi="Book Antiqua"/>
          <w:b/>
          <w:sz w:val="24"/>
          <w:szCs w:val="24"/>
        </w:rPr>
      </w:pPr>
      <w:r w:rsidRPr="002979FC">
        <w:rPr>
          <w:rFonts w:ascii="Book Antiqua" w:hAnsi="Book Antiqua"/>
          <w:b/>
          <w:sz w:val="24"/>
          <w:szCs w:val="24"/>
        </w:rPr>
        <w:t xml:space="preserve">Email: </w:t>
      </w:r>
      <w:hyperlink r:id="rId7" w:history="1">
        <w:r w:rsidR="0041547B" w:rsidRPr="00517C15">
          <w:rPr>
            <w:rStyle w:val="Hyperlink"/>
            <w:rFonts w:ascii="Book Antiqua" w:hAnsi="Book Antiqua"/>
            <w:b/>
            <w:sz w:val="24"/>
            <w:szCs w:val="24"/>
          </w:rPr>
          <w:t>roberto.dandoo@gmail.com</w:t>
        </w:r>
      </w:hyperlink>
    </w:p>
    <w:p w14:paraId="16ADCF00" w14:textId="77777777" w:rsidR="00E83D6E" w:rsidRPr="002979FC" w:rsidRDefault="00E83D6E" w:rsidP="00E83D6E">
      <w:pPr>
        <w:spacing w:after="0" w:line="240" w:lineRule="auto"/>
        <w:jc w:val="center"/>
        <w:rPr>
          <w:rFonts w:ascii="Book Antiqua" w:hAnsi="Book Antiqua"/>
          <w:b/>
          <w:sz w:val="24"/>
          <w:szCs w:val="24"/>
        </w:rPr>
      </w:pPr>
    </w:p>
    <w:p w14:paraId="24EAE102" w14:textId="77777777" w:rsidR="00E83D6E" w:rsidRPr="002979FC" w:rsidRDefault="00E83D6E" w:rsidP="00E83D6E">
      <w:pPr>
        <w:spacing w:after="0" w:line="240" w:lineRule="auto"/>
        <w:jc w:val="center"/>
        <w:rPr>
          <w:rFonts w:ascii="Book Antiqua" w:hAnsi="Book Antiqua"/>
          <w:b/>
          <w:sz w:val="24"/>
          <w:szCs w:val="24"/>
        </w:rPr>
      </w:pPr>
      <w:r w:rsidRPr="002979FC">
        <w:rPr>
          <w:rFonts w:ascii="Book Antiqua" w:hAnsi="Book Antiqua"/>
          <w:b/>
          <w:sz w:val="24"/>
          <w:szCs w:val="24"/>
        </w:rPr>
        <w:t>ABSTRACT</w:t>
      </w:r>
    </w:p>
    <w:p w14:paraId="61C6D16E" w14:textId="77777777" w:rsidR="009B1C17" w:rsidRPr="002979FC" w:rsidRDefault="009B1C17" w:rsidP="0040544C">
      <w:pPr>
        <w:spacing w:after="0" w:line="240" w:lineRule="auto"/>
        <w:jc w:val="center"/>
        <w:rPr>
          <w:rFonts w:ascii="Book Antiqua" w:hAnsi="Book Antiqua"/>
          <w:b/>
          <w:i/>
          <w:sz w:val="24"/>
          <w:szCs w:val="24"/>
        </w:rPr>
      </w:pPr>
    </w:p>
    <w:p w14:paraId="235D62A6" w14:textId="77777777" w:rsidR="00BE4F2A" w:rsidRPr="002979FC" w:rsidRDefault="00B71487" w:rsidP="00E24E5D">
      <w:pPr>
        <w:spacing w:after="0" w:line="240" w:lineRule="auto"/>
        <w:jc w:val="both"/>
        <w:rPr>
          <w:rFonts w:ascii="Book Antiqua" w:hAnsi="Book Antiqua"/>
          <w:sz w:val="24"/>
          <w:szCs w:val="24"/>
        </w:rPr>
      </w:pPr>
      <w:r>
        <w:rPr>
          <w:rFonts w:ascii="Book Antiqua" w:hAnsi="Book Antiqua"/>
          <w:sz w:val="24"/>
          <w:szCs w:val="24"/>
        </w:rPr>
        <w:tab/>
      </w:r>
      <w:r w:rsidR="00BE4F2A" w:rsidRPr="002979FC">
        <w:rPr>
          <w:rFonts w:ascii="Book Antiqua" w:hAnsi="Book Antiqua"/>
          <w:sz w:val="24"/>
          <w:szCs w:val="24"/>
        </w:rPr>
        <w:t xml:space="preserve">This study aims to analyze the financial performance of PT Sona </w:t>
      </w:r>
      <w:proofErr w:type="spellStart"/>
      <w:r w:rsidR="00BE4F2A" w:rsidRPr="002979FC">
        <w:rPr>
          <w:rFonts w:ascii="Book Antiqua" w:hAnsi="Book Antiqua"/>
          <w:sz w:val="24"/>
          <w:szCs w:val="24"/>
        </w:rPr>
        <w:t>Topas</w:t>
      </w:r>
      <w:proofErr w:type="spellEnd"/>
      <w:r w:rsidR="00BE4F2A" w:rsidRPr="002979FC">
        <w:rPr>
          <w:rFonts w:ascii="Book Antiqua" w:hAnsi="Book Antiqua"/>
          <w:sz w:val="24"/>
          <w:szCs w:val="24"/>
        </w:rPr>
        <w:t xml:space="preserve"> Tourism Industry </w:t>
      </w:r>
      <w:proofErr w:type="spellStart"/>
      <w:r w:rsidR="00BE4F2A" w:rsidRPr="002979FC">
        <w:rPr>
          <w:rFonts w:ascii="Book Antiqua" w:hAnsi="Book Antiqua"/>
          <w:sz w:val="24"/>
          <w:szCs w:val="24"/>
        </w:rPr>
        <w:t>Tbk</w:t>
      </w:r>
      <w:proofErr w:type="spellEnd"/>
      <w:r w:rsidR="00BE4F2A" w:rsidRPr="002979FC">
        <w:rPr>
          <w:rFonts w:ascii="Book Antiqua" w:hAnsi="Book Antiqua"/>
          <w:sz w:val="24"/>
          <w:szCs w:val="24"/>
        </w:rPr>
        <w:t xml:space="preserve"> for the period 2015 to 2024 through financial ratio analysis which includes liquidity, solvency, activity, and profitability ratios. The research uses a quantitative descriptive method based on secondary data obtained from the company’s audited financial statements published by the Indonesia Stock Exchange (IDX). The analysis focuses on evaluating the company’s ability to meet short-term and long-term obligations, manage assets efficiently, and generate profits. The results show that the company maintained a strong liquidity position, particularly in 2021, reflecting effective short-term financial management during the COVID-19 pandemic. The solvency ratios indicate an improvement in the company’s capital structure after 2018, while the activity ratios show fluctuations due to reduced operational performance during the pandemic period. The profitability ratios reveal a decline in 2020 and 2021 followed by gradual recovery in 2023 and 2024, demonstrating the company’s resilience and ability to restore profitability. These findings confirm that financial ratio analysis is a reliable tool for evaluating financial performance, providing a comprehensive understanding of financial stability, operational efficiency, and strategic adaptability. This study contributes to the academic field by presenting a ten-year longitudinal financial evaluation that covers pre-pandemic, pandemic, and post-pandemic phases, offering both theoretical and practical insights for financial management in the tourism industry.</w:t>
      </w:r>
    </w:p>
    <w:p w14:paraId="509E2D2E" w14:textId="77777777" w:rsidR="00C33F7A" w:rsidRDefault="00C33F7A" w:rsidP="00371E89">
      <w:pPr>
        <w:spacing w:after="0" w:line="240" w:lineRule="auto"/>
        <w:jc w:val="both"/>
        <w:rPr>
          <w:rFonts w:ascii="Book Antiqua" w:hAnsi="Book Antiqua"/>
          <w:b/>
          <w:i/>
          <w:sz w:val="24"/>
          <w:szCs w:val="24"/>
        </w:rPr>
      </w:pPr>
    </w:p>
    <w:p w14:paraId="7B137106" w14:textId="6518F8A9" w:rsidR="00B71487" w:rsidRDefault="00EA07B7" w:rsidP="00371E89">
      <w:pPr>
        <w:spacing w:after="0" w:line="240" w:lineRule="auto"/>
        <w:jc w:val="both"/>
        <w:rPr>
          <w:rFonts w:ascii="Book Antiqua" w:hAnsi="Book Antiqua"/>
          <w:sz w:val="24"/>
          <w:szCs w:val="24"/>
        </w:rPr>
      </w:pPr>
      <w:r w:rsidRPr="002979FC">
        <w:rPr>
          <w:rFonts w:ascii="Book Antiqua" w:hAnsi="Book Antiqua"/>
          <w:b/>
          <w:sz w:val="24"/>
          <w:szCs w:val="24"/>
        </w:rPr>
        <w:t xml:space="preserve">Keywords: </w:t>
      </w:r>
      <w:r w:rsidRPr="002979FC">
        <w:rPr>
          <w:rFonts w:ascii="Book Antiqua" w:hAnsi="Book Antiqua"/>
          <w:sz w:val="24"/>
          <w:szCs w:val="24"/>
        </w:rPr>
        <w:t xml:space="preserve">Financial Ratio Analysis; Financial Performance; Liquidity Ratio; Profitability Ratio; Solvency Ratio;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003B3B04">
        <w:rPr>
          <w:rFonts w:ascii="Book Antiqua" w:hAnsi="Book Antiqua"/>
          <w:sz w:val="24"/>
          <w:szCs w:val="24"/>
        </w:rPr>
        <w:t xml:space="preserve">. </w:t>
      </w:r>
    </w:p>
    <w:p w14:paraId="33E3E2E6" w14:textId="77777777" w:rsidR="00B71487" w:rsidRPr="002979FC" w:rsidRDefault="00B71487" w:rsidP="00371E89">
      <w:pPr>
        <w:spacing w:after="0" w:line="240" w:lineRule="auto"/>
        <w:jc w:val="both"/>
        <w:rPr>
          <w:rFonts w:ascii="Book Antiqua" w:hAnsi="Book Antiqua"/>
          <w:sz w:val="24"/>
          <w:szCs w:val="24"/>
        </w:rPr>
      </w:pPr>
    </w:p>
    <w:p w14:paraId="488464CD" w14:textId="617DF19A" w:rsidR="00EA07B7" w:rsidRPr="002979FC" w:rsidRDefault="0041547B" w:rsidP="00EA07B7">
      <w:pPr>
        <w:spacing w:after="0" w:line="240" w:lineRule="auto"/>
        <w:jc w:val="both"/>
        <w:rPr>
          <w:rFonts w:ascii="Book Antiqua" w:hAnsi="Book Antiqua"/>
          <w:b/>
          <w:sz w:val="24"/>
          <w:szCs w:val="24"/>
        </w:rPr>
      </w:pPr>
      <w:r>
        <w:rPr>
          <w:rFonts w:ascii="Book Antiqua" w:hAnsi="Book Antiqua"/>
          <w:b/>
          <w:sz w:val="24"/>
          <w:szCs w:val="24"/>
        </w:rPr>
        <w:t>Introduction</w:t>
      </w:r>
    </w:p>
    <w:p w14:paraId="1A1BDEBF" w14:textId="77777777" w:rsidR="00EA07B7" w:rsidRPr="002979FC" w:rsidRDefault="00EA07B7" w:rsidP="00EA07B7">
      <w:pPr>
        <w:spacing w:after="0" w:line="240" w:lineRule="auto"/>
        <w:jc w:val="both"/>
        <w:rPr>
          <w:rFonts w:ascii="Book Antiqua" w:hAnsi="Book Antiqua"/>
          <w:sz w:val="24"/>
          <w:szCs w:val="24"/>
        </w:rPr>
      </w:pPr>
      <w:r w:rsidRPr="002979FC">
        <w:rPr>
          <w:rFonts w:ascii="Book Antiqua" w:hAnsi="Book Antiqua"/>
          <w:sz w:val="24"/>
          <w:szCs w:val="24"/>
        </w:rPr>
        <w:tab/>
        <w:t xml:space="preserve">Financial ratio analysis is a financial analysis tool used by companies to evaluate performance based on comparisons of items contained in financial statements. These financial statements consist of the Balance Sheet, Income Statement, Cash Flow Statement, Statement of Changes in Equity, and Notes to the Financial Statements. The Balance Sheet describes the company’s assets and liabilities (equity), while the Income Statement presents all income, revenue sources, and the types and amounts of expenses incurred by the company. With the availability of financial </w:t>
      </w:r>
      <w:r w:rsidRPr="002979FC">
        <w:rPr>
          <w:rFonts w:ascii="Book Antiqua" w:hAnsi="Book Antiqua"/>
          <w:sz w:val="24"/>
          <w:szCs w:val="24"/>
        </w:rPr>
        <w:lastRenderedPageBreak/>
        <w:t>statements, it is expected that they can assist in analyzing and assessing the company’s financial condition.</w:t>
      </w:r>
    </w:p>
    <w:p w14:paraId="3A3D09CC" w14:textId="77777777" w:rsidR="00EA07B7" w:rsidRPr="002979FC" w:rsidRDefault="00EA07B7" w:rsidP="00EA07B7">
      <w:pPr>
        <w:spacing w:after="0" w:line="240" w:lineRule="auto"/>
        <w:jc w:val="both"/>
        <w:rPr>
          <w:rFonts w:ascii="Book Antiqua" w:hAnsi="Book Antiqua"/>
          <w:sz w:val="24"/>
          <w:szCs w:val="24"/>
        </w:rPr>
      </w:pPr>
      <w:r w:rsidRPr="002979FC">
        <w:rPr>
          <w:rFonts w:ascii="Book Antiqua" w:hAnsi="Book Antiqua"/>
          <w:sz w:val="24"/>
          <w:szCs w:val="24"/>
        </w:rPr>
        <w:tab/>
        <w:t>The purpose of financial ratio analysis is to estimate and predict as accurately as possible the company’s financial condition and performance in the future. From the perspective of financial management, financial ratio analysis is used to evaluate the company’s performance based on its financial statements.</w:t>
      </w:r>
    </w:p>
    <w:p w14:paraId="52ADAABB" w14:textId="77777777" w:rsidR="00EA07B7" w:rsidRPr="002979FC" w:rsidRDefault="00EA07B7" w:rsidP="00EA07B7">
      <w:pPr>
        <w:spacing w:after="0" w:line="240" w:lineRule="auto"/>
        <w:jc w:val="both"/>
        <w:rPr>
          <w:rFonts w:ascii="Book Antiqua" w:hAnsi="Book Antiqua"/>
          <w:sz w:val="24"/>
          <w:szCs w:val="24"/>
        </w:rPr>
      </w:pPr>
      <w:r w:rsidRPr="002979FC">
        <w:rPr>
          <w:rFonts w:ascii="Book Antiqua" w:hAnsi="Book Antiqua"/>
          <w:sz w:val="24"/>
          <w:szCs w:val="24"/>
        </w:rPr>
        <w:tab/>
        <w:t xml:space="preserve">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is a company engaged in the tourism and duty-free retail sectors in Indonesia. The company focuses on travel services, duty-free trading, and retail store management in strategic locations such as airports and major tourist destinations. As one of the public companies listed on the Indonesia Stock Exchange since 1992,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plays an important role in supporting the national tourism sector by providing high-quality products and services.</w:t>
      </w:r>
    </w:p>
    <w:p w14:paraId="6B7B96AE" w14:textId="77777777" w:rsidR="00EA07B7" w:rsidRPr="002979FC" w:rsidRDefault="00EA07B7" w:rsidP="00EA07B7">
      <w:pPr>
        <w:spacing w:after="0" w:line="240" w:lineRule="auto"/>
        <w:jc w:val="both"/>
        <w:rPr>
          <w:rFonts w:ascii="Book Antiqua" w:hAnsi="Book Antiqua"/>
          <w:sz w:val="24"/>
          <w:szCs w:val="24"/>
        </w:rPr>
      </w:pPr>
      <w:r w:rsidRPr="002979FC">
        <w:rPr>
          <w:rFonts w:ascii="Book Antiqua" w:hAnsi="Book Antiqua"/>
          <w:sz w:val="24"/>
          <w:szCs w:val="24"/>
        </w:rPr>
        <w:tab/>
        <w:t xml:space="preserve">In an effort to maintain sustainability and improve business performance,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needs to plan and analyze its financial reports regularly to monitor financial developments. Financial statements serve as the main source of information that reflects the company’s financial position, operational performance, and cash flows during a specific period. Through financial reports, the company can assess whether there has been an improvement or decline in performance compared to previous periods and use it as a basis for strategic decision-making. </w:t>
      </w:r>
    </w:p>
    <w:p w14:paraId="7DF27D73" w14:textId="30BCAA79" w:rsidR="00B71487" w:rsidRDefault="00EA07B7" w:rsidP="00EA07B7">
      <w:pPr>
        <w:spacing w:after="0" w:line="240" w:lineRule="auto"/>
        <w:jc w:val="both"/>
        <w:rPr>
          <w:rFonts w:ascii="Book Antiqua" w:hAnsi="Book Antiqua"/>
          <w:sz w:val="24"/>
          <w:szCs w:val="24"/>
        </w:rPr>
      </w:pPr>
      <w:r w:rsidRPr="002979FC">
        <w:rPr>
          <w:rFonts w:ascii="Book Antiqua" w:hAnsi="Book Antiqua"/>
          <w:sz w:val="24"/>
          <w:szCs w:val="24"/>
        </w:rPr>
        <w:tab/>
        <w:t xml:space="preserve">To support business growth and expand its operational network,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establishes strategic partnerships with international entities with a strong global reputation in tourism and retail. The company also develops new business units across regions and expands its services to domestic and international </w:t>
      </w:r>
      <w:proofErr w:type="spellStart"/>
      <w:r w:rsidRPr="002979FC">
        <w:rPr>
          <w:rFonts w:ascii="Book Antiqua" w:hAnsi="Book Antiqua"/>
          <w:sz w:val="24"/>
          <w:szCs w:val="24"/>
        </w:rPr>
        <w:t>markets.The</w:t>
      </w:r>
      <w:proofErr w:type="spellEnd"/>
      <w:r w:rsidRPr="002979FC">
        <w:rPr>
          <w:rFonts w:ascii="Book Antiqua" w:hAnsi="Book Antiqua"/>
          <w:sz w:val="24"/>
          <w:szCs w:val="24"/>
        </w:rPr>
        <w:t xml:space="preserve"> company’s business activities are not limited to domestic tourism services but also include collaboration with global operators to provide high-quality shopping and travel experiences for both foreign and local tourists. Financial statements are not merely records of numerical data but serve as analytical tools to assess company performance, the effectiveness of business strategies, and future growth</w:t>
      </w:r>
      <w:r w:rsidR="00A76234" w:rsidRPr="002979FC">
        <w:rPr>
          <w:rFonts w:ascii="Book Antiqua" w:hAnsi="Book Antiqua"/>
          <w:sz w:val="24"/>
          <w:szCs w:val="24"/>
        </w:rPr>
        <w:t xml:space="preserve"> potential.</w:t>
      </w:r>
    </w:p>
    <w:p w14:paraId="5AC39CA9" w14:textId="77777777" w:rsidR="00E83D6E" w:rsidRDefault="00B71487" w:rsidP="00EA07B7">
      <w:pPr>
        <w:spacing w:after="0" w:line="240" w:lineRule="auto"/>
        <w:jc w:val="both"/>
        <w:rPr>
          <w:rFonts w:ascii="Book Antiqua" w:hAnsi="Book Antiqua"/>
          <w:sz w:val="24"/>
          <w:szCs w:val="24"/>
        </w:rPr>
      </w:pPr>
      <w:r>
        <w:rPr>
          <w:rFonts w:ascii="Book Antiqua" w:hAnsi="Book Antiqua"/>
          <w:sz w:val="24"/>
          <w:szCs w:val="24"/>
        </w:rPr>
        <w:tab/>
      </w:r>
      <w:r w:rsidR="00EA07B7" w:rsidRPr="002979FC">
        <w:rPr>
          <w:rFonts w:ascii="Book Antiqua" w:hAnsi="Book Antiqua"/>
          <w:sz w:val="24"/>
          <w:szCs w:val="24"/>
        </w:rPr>
        <w:t>By understanding the results of financial statement analysis, management can determine appropriate strategies to face the dynamics of the tourism industry, which are influenced by external factors such as global economic conditions, travel policies, and international tourism trends. The financial ratio analysis used to measure the company’s performance consists of four ratios: liquidity, solvency, activity, and profitability. The liquidity ratio illustrates the company’s cash position and its ability to pay obligations when due. The solvency ratio measures the company’s ability to settle long-term and short-term debts with its assets as collateral. The activity ratio measures how efficiently the company utilizes its assets, while the profitability ratio evaluates the company’s ability to generate profits.</w:t>
      </w:r>
    </w:p>
    <w:p w14:paraId="7C06ECF0" w14:textId="77777777" w:rsidR="0041547B" w:rsidRDefault="0041547B" w:rsidP="00EA07B7">
      <w:pPr>
        <w:spacing w:after="0" w:line="240" w:lineRule="auto"/>
        <w:jc w:val="both"/>
        <w:rPr>
          <w:rFonts w:ascii="Book Antiqua" w:hAnsi="Book Antiqua"/>
          <w:sz w:val="24"/>
          <w:szCs w:val="24"/>
        </w:rPr>
      </w:pPr>
    </w:p>
    <w:p w14:paraId="734F0166" w14:textId="77777777" w:rsidR="0041547B" w:rsidRPr="002979FC" w:rsidRDefault="0041547B" w:rsidP="00EA07B7">
      <w:pPr>
        <w:spacing w:after="0" w:line="240" w:lineRule="auto"/>
        <w:jc w:val="both"/>
        <w:rPr>
          <w:rFonts w:ascii="Book Antiqua" w:hAnsi="Book Antiqua"/>
          <w:sz w:val="24"/>
          <w:szCs w:val="24"/>
        </w:rPr>
      </w:pPr>
    </w:p>
    <w:p w14:paraId="1D5DF137" w14:textId="77777777" w:rsidR="00EA07B7" w:rsidRPr="002979FC" w:rsidRDefault="00EA07B7" w:rsidP="00371E89">
      <w:pPr>
        <w:spacing w:after="0" w:line="240" w:lineRule="auto"/>
        <w:jc w:val="both"/>
        <w:rPr>
          <w:rFonts w:ascii="Book Antiqua" w:hAnsi="Book Antiqua"/>
          <w:b/>
          <w:sz w:val="24"/>
          <w:szCs w:val="24"/>
        </w:rPr>
      </w:pPr>
    </w:p>
    <w:p w14:paraId="37FB7B16" w14:textId="5540B0F6" w:rsidR="00A76234" w:rsidRPr="00B71487" w:rsidRDefault="0041547B" w:rsidP="00A76234">
      <w:pPr>
        <w:spacing w:after="0" w:line="240" w:lineRule="auto"/>
        <w:jc w:val="both"/>
        <w:rPr>
          <w:rFonts w:ascii="Book Antiqua" w:hAnsi="Book Antiqua"/>
          <w:b/>
          <w:sz w:val="24"/>
          <w:szCs w:val="24"/>
        </w:rPr>
      </w:pPr>
      <w:r>
        <w:rPr>
          <w:rFonts w:ascii="Book Antiqua" w:hAnsi="Book Antiqua"/>
          <w:b/>
          <w:sz w:val="24"/>
          <w:szCs w:val="24"/>
        </w:rPr>
        <w:lastRenderedPageBreak/>
        <w:t>Theoretical Framework</w:t>
      </w:r>
    </w:p>
    <w:p w14:paraId="45ADC5FF" w14:textId="77777777" w:rsidR="00A76234" w:rsidRPr="002979FC" w:rsidRDefault="00A76234" w:rsidP="00A76234">
      <w:pPr>
        <w:spacing w:after="0" w:line="240" w:lineRule="auto"/>
        <w:jc w:val="both"/>
        <w:rPr>
          <w:rFonts w:ascii="Book Antiqua" w:hAnsi="Book Antiqua"/>
          <w:sz w:val="24"/>
          <w:szCs w:val="24"/>
        </w:rPr>
      </w:pPr>
      <w:r w:rsidRPr="002979FC">
        <w:rPr>
          <w:rFonts w:ascii="Book Antiqua" w:hAnsi="Book Antiqua"/>
          <w:sz w:val="24"/>
          <w:szCs w:val="24"/>
        </w:rPr>
        <w:tab/>
        <w:t>Financial ratio analysis is a method used to evaluate a company’s financial performance by comparing various items within its financial statements. Financial ratios serve to assess the company’s financial health, operational efficiency, and its ability to meet obligations and generate profits. According to Kasmir (2019), financial ratio analysis is carried out to determine the extent to which a company can perform its operations effectively and efficiently through relevant financial comparisons.</w:t>
      </w:r>
    </w:p>
    <w:p w14:paraId="36919AA8" w14:textId="77777777" w:rsidR="00A76234" w:rsidRPr="002979FC" w:rsidRDefault="00A76234" w:rsidP="00A76234">
      <w:pPr>
        <w:spacing w:after="0" w:line="240" w:lineRule="auto"/>
        <w:jc w:val="both"/>
        <w:rPr>
          <w:rFonts w:ascii="Book Antiqua" w:hAnsi="Book Antiqua"/>
          <w:sz w:val="24"/>
          <w:szCs w:val="24"/>
        </w:rPr>
      </w:pPr>
      <w:r w:rsidRPr="002979FC">
        <w:rPr>
          <w:rFonts w:ascii="Book Antiqua" w:hAnsi="Book Antiqua"/>
          <w:sz w:val="24"/>
          <w:szCs w:val="24"/>
        </w:rPr>
        <w:tab/>
        <w:t>Financial ratios are generally divided into four main categories: liquidity ratio, solvency ratio, activity ratio, and profitability ratio. The liquidity ratio measures a company’s ability to meet short-term obligations by comparing current assets to current liabilities. The solvency ratio evaluates the extent to which a company’s assets are financed by debt, showing its ability to meet long-term obligations. The activity ratio assesses how effectively a company utilizes its assets to generate revenue. Meanwhile, the profitability ratio measures the company’s ability to earn profits from its operations over a given period.</w:t>
      </w:r>
    </w:p>
    <w:p w14:paraId="0AE702C4" w14:textId="77777777" w:rsidR="00A76234" w:rsidRPr="002979FC" w:rsidRDefault="00A76234" w:rsidP="00A76234">
      <w:pPr>
        <w:spacing w:after="0" w:line="240" w:lineRule="auto"/>
        <w:jc w:val="both"/>
        <w:rPr>
          <w:rFonts w:ascii="Book Antiqua" w:hAnsi="Book Antiqua"/>
          <w:sz w:val="24"/>
          <w:szCs w:val="24"/>
        </w:rPr>
      </w:pPr>
      <w:r w:rsidRPr="002979FC">
        <w:rPr>
          <w:rFonts w:ascii="Book Antiqua" w:hAnsi="Book Antiqua"/>
          <w:sz w:val="24"/>
          <w:szCs w:val="24"/>
        </w:rPr>
        <w:tab/>
        <w:t xml:space="preserve">Several previous studies have shown that financial ratio analysis is a reliable tool to assess a company’s performance and stability. Research by Sari and </w:t>
      </w:r>
      <w:proofErr w:type="spellStart"/>
      <w:r w:rsidRPr="002979FC">
        <w:rPr>
          <w:rFonts w:ascii="Book Antiqua" w:hAnsi="Book Antiqua"/>
          <w:sz w:val="24"/>
          <w:szCs w:val="24"/>
        </w:rPr>
        <w:t>Rachmawati</w:t>
      </w:r>
      <w:proofErr w:type="spellEnd"/>
      <w:r w:rsidRPr="002979FC">
        <w:rPr>
          <w:rFonts w:ascii="Book Antiqua" w:hAnsi="Book Antiqua"/>
          <w:sz w:val="24"/>
          <w:szCs w:val="24"/>
        </w:rPr>
        <w:t xml:space="preserve"> (2021) found that liquidity and profitability ratios significantly influence financial performance. In contrast, Putra (2020) emphasized that solvency and activity ratios play a vital role in determining business efficiency and sustainability.</w:t>
      </w:r>
    </w:p>
    <w:p w14:paraId="5B61C39C" w14:textId="77777777" w:rsidR="00A76234" w:rsidRPr="002979FC" w:rsidRDefault="00A76234" w:rsidP="00A76234">
      <w:pPr>
        <w:spacing w:after="0" w:line="240" w:lineRule="auto"/>
        <w:jc w:val="both"/>
        <w:rPr>
          <w:rFonts w:ascii="Book Antiqua" w:hAnsi="Book Antiqua"/>
          <w:sz w:val="24"/>
          <w:szCs w:val="24"/>
        </w:rPr>
      </w:pPr>
      <w:r w:rsidRPr="002979FC">
        <w:rPr>
          <w:rFonts w:ascii="Book Antiqua" w:hAnsi="Book Antiqua"/>
          <w:sz w:val="24"/>
          <w:szCs w:val="24"/>
        </w:rPr>
        <w:tab/>
        <w:t xml:space="preserve">Based on these previous studies, this research aims to extend the analysis by applying financial ratio analysis to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for the period 2015–2024. The focus of this study is to determine how changes in liquidity, solvency, activity, and profitability ratios reflect the company’s financial performance over the past ten years.</w:t>
      </w:r>
    </w:p>
    <w:p w14:paraId="509A3088" w14:textId="77777777" w:rsidR="00A76234" w:rsidRPr="002979FC" w:rsidRDefault="00A76234" w:rsidP="00A76234">
      <w:pPr>
        <w:spacing w:after="0" w:line="240" w:lineRule="auto"/>
        <w:jc w:val="both"/>
        <w:rPr>
          <w:rFonts w:ascii="Book Antiqua" w:hAnsi="Book Antiqua"/>
          <w:sz w:val="24"/>
          <w:szCs w:val="24"/>
        </w:rPr>
      </w:pPr>
      <w:r w:rsidRPr="002979FC">
        <w:rPr>
          <w:rFonts w:ascii="Book Antiqua" w:hAnsi="Book Antiqua"/>
          <w:sz w:val="24"/>
          <w:szCs w:val="24"/>
        </w:rPr>
        <w:tab/>
        <w:t>From the theoretical and empirical review, the following hypothesis can be formulated:</w:t>
      </w:r>
    </w:p>
    <w:p w14:paraId="4644AAB9" w14:textId="77777777" w:rsidR="00371E89" w:rsidRPr="002979FC" w:rsidRDefault="00A76234" w:rsidP="00A76234">
      <w:pPr>
        <w:spacing w:after="0" w:line="240" w:lineRule="auto"/>
        <w:jc w:val="both"/>
        <w:rPr>
          <w:rFonts w:ascii="Book Antiqua" w:hAnsi="Book Antiqua"/>
          <w:sz w:val="24"/>
          <w:szCs w:val="24"/>
        </w:rPr>
      </w:pPr>
      <w:r w:rsidRPr="002979FC">
        <w:rPr>
          <w:rFonts w:ascii="Book Antiqua" w:hAnsi="Book Antiqua"/>
          <w:sz w:val="24"/>
          <w:szCs w:val="24"/>
        </w:rPr>
        <w:t xml:space="preserve">H1: Liquidity, solvency, activity, and profitability ratios significantly affect the financial performance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for the 2015–2024 period.</w:t>
      </w:r>
    </w:p>
    <w:p w14:paraId="53564277" w14:textId="77777777" w:rsidR="00A76234" w:rsidRPr="002979FC" w:rsidRDefault="00A76234" w:rsidP="00A76234">
      <w:pPr>
        <w:spacing w:after="0" w:line="240" w:lineRule="auto"/>
        <w:jc w:val="both"/>
        <w:rPr>
          <w:rFonts w:ascii="Book Antiqua" w:hAnsi="Book Antiqua"/>
          <w:sz w:val="24"/>
          <w:szCs w:val="24"/>
        </w:rPr>
      </w:pPr>
    </w:p>
    <w:p w14:paraId="2F409F1B" w14:textId="510E0122" w:rsidR="00FF467A" w:rsidRPr="00B71487" w:rsidRDefault="0041547B" w:rsidP="00FF467A">
      <w:pPr>
        <w:spacing w:after="0" w:line="240" w:lineRule="auto"/>
        <w:jc w:val="both"/>
        <w:rPr>
          <w:rFonts w:ascii="Book Antiqua" w:hAnsi="Book Antiqua"/>
          <w:b/>
          <w:sz w:val="24"/>
          <w:szCs w:val="24"/>
        </w:rPr>
      </w:pPr>
      <w:r>
        <w:rPr>
          <w:rFonts w:ascii="Book Antiqua" w:hAnsi="Book Antiqua"/>
          <w:b/>
          <w:sz w:val="24"/>
          <w:szCs w:val="24"/>
        </w:rPr>
        <w:t>Method</w:t>
      </w:r>
    </w:p>
    <w:p w14:paraId="5D249A69" w14:textId="77777777" w:rsidR="00FF467A" w:rsidRPr="002979FC" w:rsidRDefault="00FF467A" w:rsidP="00FF467A">
      <w:pPr>
        <w:spacing w:after="0" w:line="240" w:lineRule="auto"/>
        <w:jc w:val="both"/>
        <w:rPr>
          <w:rFonts w:ascii="Book Antiqua" w:hAnsi="Book Antiqua"/>
          <w:sz w:val="24"/>
          <w:szCs w:val="24"/>
        </w:rPr>
      </w:pPr>
      <w:r w:rsidRPr="002979FC">
        <w:rPr>
          <w:rFonts w:ascii="Book Antiqua" w:hAnsi="Book Antiqua"/>
          <w:sz w:val="24"/>
          <w:szCs w:val="24"/>
        </w:rPr>
        <w:tab/>
        <w:t xml:space="preserve">This research uses a quantitative descriptive approach, which aims to describe and analyze the company’s financial performance through financial ratio analysis. The data used in this study are secondary data obtained from the official financial statements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for the period of 2015–2024, as published on the Indonesia Stock Exchange (IDX) website.</w:t>
      </w:r>
    </w:p>
    <w:p w14:paraId="6044928C" w14:textId="77777777" w:rsidR="00FF467A" w:rsidRPr="002979FC" w:rsidRDefault="00FF467A" w:rsidP="00FF467A">
      <w:pPr>
        <w:spacing w:after="0" w:line="240" w:lineRule="auto"/>
        <w:jc w:val="both"/>
        <w:rPr>
          <w:rFonts w:ascii="Book Antiqua" w:hAnsi="Book Antiqua"/>
          <w:sz w:val="24"/>
          <w:szCs w:val="24"/>
        </w:rPr>
      </w:pPr>
      <w:r w:rsidRPr="002979FC">
        <w:rPr>
          <w:rFonts w:ascii="Book Antiqua" w:hAnsi="Book Antiqua"/>
          <w:sz w:val="24"/>
          <w:szCs w:val="24"/>
        </w:rPr>
        <w:tab/>
        <w:t xml:space="preserve">The population of this research consists of all financial statements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within the ten-year observation period (2015–2024). Since the study uses complete data from the company’s annual financial reports, no sampling technique is required; thus, the research applies a saturated sampling method, where all available data are analyzed.</w:t>
      </w:r>
    </w:p>
    <w:p w14:paraId="41B6EDFC" w14:textId="77777777" w:rsidR="00FF467A" w:rsidRPr="002979FC" w:rsidRDefault="00FF467A" w:rsidP="00FF467A">
      <w:pPr>
        <w:spacing w:after="0" w:line="240" w:lineRule="auto"/>
        <w:jc w:val="both"/>
        <w:rPr>
          <w:rFonts w:ascii="Book Antiqua" w:hAnsi="Book Antiqua"/>
          <w:sz w:val="24"/>
          <w:szCs w:val="24"/>
        </w:rPr>
      </w:pPr>
      <w:r w:rsidRPr="002979FC">
        <w:rPr>
          <w:rFonts w:ascii="Book Antiqua" w:hAnsi="Book Antiqua"/>
          <w:sz w:val="24"/>
          <w:szCs w:val="24"/>
        </w:rPr>
        <w:tab/>
        <w:t xml:space="preserve">The data collection technique used in this study is documentation, by collecting relevant financial reports and recording necessary data related to liquidity, solvency, </w:t>
      </w:r>
      <w:r w:rsidRPr="002979FC">
        <w:rPr>
          <w:rFonts w:ascii="Book Antiqua" w:hAnsi="Book Antiqua"/>
          <w:sz w:val="24"/>
          <w:szCs w:val="24"/>
        </w:rPr>
        <w:lastRenderedPageBreak/>
        <w:t>activity, and profitability ratios. The main research instrument is the documentation sheet, which records quantitative data taken directly from the company’s official financial statements as published by the Indonesia Stock Exchange (IDX). These financial reports include the Balance Sheet, Income Statement, Cash Flow Statement, Statement of Changes in Equity, and Notes to the Financial Statements.</w:t>
      </w:r>
    </w:p>
    <w:p w14:paraId="21D4B052" w14:textId="77777777" w:rsidR="00FF467A" w:rsidRPr="002979FC" w:rsidRDefault="00FF467A" w:rsidP="00FF467A">
      <w:pPr>
        <w:spacing w:after="0" w:line="240" w:lineRule="auto"/>
        <w:jc w:val="both"/>
        <w:rPr>
          <w:rFonts w:ascii="Book Antiqua" w:hAnsi="Book Antiqua"/>
          <w:sz w:val="24"/>
          <w:szCs w:val="24"/>
        </w:rPr>
      </w:pPr>
      <w:r w:rsidRPr="002979FC">
        <w:rPr>
          <w:rFonts w:ascii="Book Antiqua" w:hAnsi="Book Antiqua"/>
          <w:sz w:val="24"/>
          <w:szCs w:val="24"/>
        </w:rPr>
        <w:tab/>
        <w:t xml:space="preserve">The analysis method used in this research is financial ratio analysis, which involves calculating and interpreting several key ratios to evaluate financial performance. These ratios include liquidity ratios to assess the company’s ability to meet short-term obligations, solvency ratios to measure the company’s ability to meet long-term obligations, activity ratios to evaluate how efficiently the company uses its assets, and profitability ratios to determine the company’s ability to generate profit. The results of these ratio analyses are then interpreted to assess the financial performance trends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over the ten-year period and to support decision-making related to financial management and business strategy.</w:t>
      </w:r>
    </w:p>
    <w:p w14:paraId="777CF01C" w14:textId="77777777" w:rsidR="00C33F7A" w:rsidRPr="002979FC" w:rsidRDefault="00C33F7A" w:rsidP="00A76234">
      <w:pPr>
        <w:spacing w:after="0" w:line="240" w:lineRule="auto"/>
        <w:jc w:val="both"/>
        <w:rPr>
          <w:rFonts w:ascii="Book Antiqua" w:hAnsi="Book Antiqua"/>
          <w:sz w:val="24"/>
          <w:szCs w:val="24"/>
        </w:rPr>
      </w:pPr>
    </w:p>
    <w:p w14:paraId="0F145677" w14:textId="6DC1AEF4" w:rsidR="00DA2532" w:rsidRPr="00B71487" w:rsidRDefault="0041547B" w:rsidP="00371E89">
      <w:pPr>
        <w:spacing w:after="0" w:line="240" w:lineRule="auto"/>
        <w:jc w:val="both"/>
        <w:rPr>
          <w:rFonts w:ascii="Book Antiqua" w:hAnsi="Book Antiqua"/>
          <w:b/>
          <w:sz w:val="24"/>
          <w:szCs w:val="24"/>
        </w:rPr>
      </w:pPr>
      <w:r>
        <w:rPr>
          <w:rFonts w:ascii="Book Antiqua" w:hAnsi="Book Antiqua"/>
          <w:b/>
          <w:sz w:val="24"/>
          <w:szCs w:val="24"/>
        </w:rPr>
        <w:t>Results</w:t>
      </w:r>
    </w:p>
    <w:p w14:paraId="5AC0FF64" w14:textId="38F5946D" w:rsidR="00B71487" w:rsidRPr="002979FC" w:rsidRDefault="00330071" w:rsidP="00330071">
      <w:pPr>
        <w:spacing w:after="0" w:line="240" w:lineRule="auto"/>
        <w:jc w:val="both"/>
        <w:rPr>
          <w:rFonts w:ascii="Book Antiqua" w:hAnsi="Book Antiqua"/>
          <w:sz w:val="24"/>
          <w:szCs w:val="24"/>
        </w:rPr>
      </w:pPr>
      <w:r w:rsidRPr="002979FC">
        <w:rPr>
          <w:rFonts w:ascii="Book Antiqua" w:hAnsi="Book Antiqua"/>
          <w:sz w:val="24"/>
          <w:szCs w:val="24"/>
        </w:rPr>
        <w:tab/>
        <w:t xml:space="preserve">This section presents the results of the financial ratio analysis conducted to evaluate the financial performance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during the 2015–2024 period. The analysis focuses on liquidity, solvency, activity, and profitability ratios, each of which reflects different aspects of the company’s financial condition and performance over time.</w:t>
      </w:r>
    </w:p>
    <w:p w14:paraId="3912915F" w14:textId="77777777" w:rsidR="00330071" w:rsidRPr="004F73F5" w:rsidRDefault="006C295A" w:rsidP="00330071">
      <w:pPr>
        <w:spacing w:after="0" w:line="240" w:lineRule="auto"/>
        <w:jc w:val="center"/>
        <w:rPr>
          <w:rFonts w:ascii="Book Antiqua" w:hAnsi="Book Antiqua"/>
          <w:sz w:val="24"/>
          <w:szCs w:val="24"/>
        </w:rPr>
      </w:pPr>
      <w:r w:rsidRPr="004F73F5">
        <w:rPr>
          <w:rFonts w:ascii="Book Antiqua" w:hAnsi="Book Antiqua"/>
          <w:sz w:val="24"/>
          <w:szCs w:val="24"/>
        </w:rPr>
        <w:t xml:space="preserve">Table 1. Liquidity Ratio </w:t>
      </w:r>
      <w:r w:rsidR="00330071" w:rsidRPr="004F73F5">
        <w:rPr>
          <w:rFonts w:ascii="Book Antiqua" w:hAnsi="Book Antiqua"/>
          <w:sz w:val="24"/>
          <w:szCs w:val="24"/>
        </w:rPr>
        <w:t xml:space="preserve">of PT Sona </w:t>
      </w:r>
      <w:proofErr w:type="spellStart"/>
      <w:r w:rsidR="00330071" w:rsidRPr="004F73F5">
        <w:rPr>
          <w:rFonts w:ascii="Book Antiqua" w:hAnsi="Book Antiqua"/>
          <w:sz w:val="24"/>
          <w:szCs w:val="24"/>
        </w:rPr>
        <w:t>Topas</w:t>
      </w:r>
      <w:proofErr w:type="spellEnd"/>
      <w:r w:rsidR="00330071" w:rsidRPr="004F73F5">
        <w:rPr>
          <w:rFonts w:ascii="Book Antiqua" w:hAnsi="Book Antiqua"/>
          <w:sz w:val="24"/>
          <w:szCs w:val="24"/>
        </w:rPr>
        <w:t xml:space="preserve"> Tourism Industry </w:t>
      </w:r>
      <w:proofErr w:type="spellStart"/>
      <w:r w:rsidR="00330071" w:rsidRPr="004F73F5">
        <w:rPr>
          <w:rFonts w:ascii="Book Antiqua" w:hAnsi="Book Antiqua"/>
          <w:sz w:val="24"/>
          <w:szCs w:val="24"/>
        </w:rPr>
        <w:t>Tbk</w:t>
      </w:r>
      <w:proofErr w:type="spellEnd"/>
      <w:r w:rsidR="00330071" w:rsidRPr="004F73F5">
        <w:rPr>
          <w:rFonts w:ascii="Book Antiqua" w:hAnsi="Book Antiqua"/>
          <w:sz w:val="24"/>
          <w:szCs w:val="24"/>
        </w:rPr>
        <w:t xml:space="preserve"> (2015–2024)</w:t>
      </w:r>
    </w:p>
    <w:tbl>
      <w:tblPr>
        <w:tblStyle w:val="TableGrid"/>
        <w:tblW w:w="9048" w:type="dxa"/>
        <w:tblLook w:val="04A0" w:firstRow="1" w:lastRow="0" w:firstColumn="1" w:lastColumn="0" w:noHBand="0" w:noVBand="1"/>
      </w:tblPr>
      <w:tblGrid>
        <w:gridCol w:w="729"/>
        <w:gridCol w:w="1351"/>
        <w:gridCol w:w="2523"/>
        <w:gridCol w:w="2290"/>
        <w:gridCol w:w="2155"/>
      </w:tblGrid>
      <w:tr w:rsidR="00A55B2E" w:rsidRPr="002979FC" w14:paraId="439EFF13" w14:textId="77777777" w:rsidTr="009633C2">
        <w:trPr>
          <w:trHeight w:val="292"/>
        </w:trPr>
        <w:tc>
          <w:tcPr>
            <w:tcW w:w="0" w:type="auto"/>
            <w:vAlign w:val="bottom"/>
          </w:tcPr>
          <w:p w14:paraId="185FAE86"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NO</w:t>
            </w:r>
          </w:p>
        </w:tc>
        <w:tc>
          <w:tcPr>
            <w:tcW w:w="0" w:type="auto"/>
            <w:vAlign w:val="bottom"/>
          </w:tcPr>
          <w:p w14:paraId="29B70952" w14:textId="77777777" w:rsidR="00A55B2E" w:rsidRPr="002979FC" w:rsidRDefault="00F7612F" w:rsidP="005E7722">
            <w:pPr>
              <w:jc w:val="center"/>
              <w:rPr>
                <w:rFonts w:ascii="Book Antiqua" w:hAnsi="Book Antiqua"/>
                <w:sz w:val="24"/>
                <w:szCs w:val="24"/>
              </w:rPr>
            </w:pPr>
            <w:r w:rsidRPr="002979FC">
              <w:rPr>
                <w:rFonts w:ascii="Book Antiqua" w:hAnsi="Book Antiqua"/>
                <w:sz w:val="24"/>
                <w:szCs w:val="24"/>
              </w:rPr>
              <w:t>Year</w:t>
            </w:r>
          </w:p>
        </w:tc>
        <w:tc>
          <w:tcPr>
            <w:tcW w:w="0" w:type="auto"/>
            <w:vAlign w:val="bottom"/>
          </w:tcPr>
          <w:p w14:paraId="6DED62EE"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Current Ratio (%)</w:t>
            </w:r>
          </w:p>
        </w:tc>
        <w:tc>
          <w:tcPr>
            <w:tcW w:w="0" w:type="auto"/>
            <w:vAlign w:val="bottom"/>
          </w:tcPr>
          <w:p w14:paraId="46F943FD"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Quick Ratio</w:t>
            </w:r>
            <w:r w:rsidR="005E7722" w:rsidRPr="002979FC">
              <w:rPr>
                <w:rFonts w:ascii="Book Antiqua" w:hAnsi="Book Antiqua"/>
                <w:sz w:val="24"/>
                <w:szCs w:val="24"/>
              </w:rPr>
              <w:t xml:space="preserve"> </w:t>
            </w:r>
            <w:r w:rsidRPr="002979FC">
              <w:rPr>
                <w:rFonts w:ascii="Book Antiqua" w:hAnsi="Book Antiqua"/>
                <w:sz w:val="24"/>
                <w:szCs w:val="24"/>
              </w:rPr>
              <w:t>(%)</w:t>
            </w:r>
          </w:p>
        </w:tc>
        <w:tc>
          <w:tcPr>
            <w:tcW w:w="0" w:type="auto"/>
            <w:vAlign w:val="bottom"/>
          </w:tcPr>
          <w:p w14:paraId="63B220BE" w14:textId="77777777" w:rsidR="00A55B2E" w:rsidRPr="002979FC" w:rsidRDefault="005E7722" w:rsidP="005E7722">
            <w:pPr>
              <w:jc w:val="center"/>
              <w:rPr>
                <w:rFonts w:ascii="Book Antiqua" w:hAnsi="Book Antiqua"/>
                <w:sz w:val="24"/>
                <w:szCs w:val="24"/>
              </w:rPr>
            </w:pPr>
            <w:r w:rsidRPr="002979FC">
              <w:rPr>
                <w:rFonts w:ascii="Book Antiqua" w:hAnsi="Book Antiqua"/>
                <w:sz w:val="24"/>
                <w:szCs w:val="24"/>
              </w:rPr>
              <w:t>Cash Ratio (%)</w:t>
            </w:r>
          </w:p>
        </w:tc>
      </w:tr>
      <w:tr w:rsidR="00A55B2E" w:rsidRPr="002979FC" w14:paraId="146E5517" w14:textId="77777777" w:rsidTr="009633C2">
        <w:trPr>
          <w:trHeight w:val="292"/>
        </w:trPr>
        <w:tc>
          <w:tcPr>
            <w:tcW w:w="0" w:type="auto"/>
            <w:vAlign w:val="bottom"/>
          </w:tcPr>
          <w:p w14:paraId="45AC64E0"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w:t>
            </w:r>
          </w:p>
        </w:tc>
        <w:tc>
          <w:tcPr>
            <w:tcW w:w="0" w:type="auto"/>
            <w:vAlign w:val="bottom"/>
          </w:tcPr>
          <w:p w14:paraId="01A6D193"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2015</w:t>
            </w:r>
          </w:p>
        </w:tc>
        <w:tc>
          <w:tcPr>
            <w:tcW w:w="0" w:type="auto"/>
            <w:vAlign w:val="bottom"/>
          </w:tcPr>
          <w:p w14:paraId="77C2B2F7"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321,88</w:t>
            </w:r>
          </w:p>
        </w:tc>
        <w:tc>
          <w:tcPr>
            <w:tcW w:w="0" w:type="auto"/>
            <w:vAlign w:val="bottom"/>
          </w:tcPr>
          <w:p w14:paraId="0358A146" w14:textId="77777777" w:rsidR="00A55B2E" w:rsidRPr="002979FC" w:rsidRDefault="00AC60E6" w:rsidP="005E7722">
            <w:pPr>
              <w:jc w:val="center"/>
              <w:rPr>
                <w:rFonts w:ascii="Book Antiqua" w:hAnsi="Book Antiqua"/>
                <w:sz w:val="24"/>
                <w:szCs w:val="24"/>
              </w:rPr>
            </w:pPr>
            <w:r w:rsidRPr="002979FC">
              <w:rPr>
                <w:rFonts w:ascii="Book Antiqua" w:hAnsi="Book Antiqua"/>
                <w:sz w:val="24"/>
                <w:szCs w:val="24"/>
              </w:rPr>
              <w:t>205</w:t>
            </w:r>
            <w:r w:rsidR="00A55B2E" w:rsidRPr="002979FC">
              <w:rPr>
                <w:rFonts w:ascii="Book Antiqua" w:hAnsi="Book Antiqua"/>
                <w:sz w:val="24"/>
                <w:szCs w:val="24"/>
              </w:rPr>
              <w:t>,33</w:t>
            </w:r>
          </w:p>
        </w:tc>
        <w:tc>
          <w:tcPr>
            <w:tcW w:w="0" w:type="auto"/>
            <w:vAlign w:val="bottom"/>
          </w:tcPr>
          <w:p w14:paraId="7A2FBCE3"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165,38</w:t>
            </w:r>
          </w:p>
        </w:tc>
      </w:tr>
      <w:tr w:rsidR="00A55B2E" w:rsidRPr="002979FC" w14:paraId="678FA7DE" w14:textId="77777777" w:rsidTr="009633C2">
        <w:trPr>
          <w:trHeight w:val="292"/>
        </w:trPr>
        <w:tc>
          <w:tcPr>
            <w:tcW w:w="0" w:type="auto"/>
            <w:vAlign w:val="bottom"/>
          </w:tcPr>
          <w:p w14:paraId="67C31A4F"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w:t>
            </w:r>
          </w:p>
        </w:tc>
        <w:tc>
          <w:tcPr>
            <w:tcW w:w="0" w:type="auto"/>
            <w:vAlign w:val="bottom"/>
          </w:tcPr>
          <w:p w14:paraId="42D5496D"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2016</w:t>
            </w:r>
          </w:p>
        </w:tc>
        <w:tc>
          <w:tcPr>
            <w:tcW w:w="0" w:type="auto"/>
            <w:vAlign w:val="bottom"/>
          </w:tcPr>
          <w:p w14:paraId="0B6EB6B0"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257,87</w:t>
            </w:r>
          </w:p>
        </w:tc>
        <w:tc>
          <w:tcPr>
            <w:tcW w:w="0" w:type="auto"/>
            <w:vAlign w:val="bottom"/>
          </w:tcPr>
          <w:p w14:paraId="31633A7B"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164,63</w:t>
            </w:r>
          </w:p>
        </w:tc>
        <w:tc>
          <w:tcPr>
            <w:tcW w:w="0" w:type="auto"/>
            <w:vAlign w:val="bottom"/>
          </w:tcPr>
          <w:p w14:paraId="46C75188"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123,12</w:t>
            </w:r>
          </w:p>
        </w:tc>
      </w:tr>
      <w:tr w:rsidR="00A55B2E" w:rsidRPr="002979FC" w14:paraId="36E0E5A0" w14:textId="77777777" w:rsidTr="009633C2">
        <w:trPr>
          <w:trHeight w:val="292"/>
        </w:trPr>
        <w:tc>
          <w:tcPr>
            <w:tcW w:w="0" w:type="auto"/>
            <w:vAlign w:val="bottom"/>
          </w:tcPr>
          <w:p w14:paraId="0D27EB35"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3</w:t>
            </w:r>
          </w:p>
        </w:tc>
        <w:tc>
          <w:tcPr>
            <w:tcW w:w="0" w:type="auto"/>
            <w:vAlign w:val="bottom"/>
          </w:tcPr>
          <w:p w14:paraId="4F7717E2"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2017</w:t>
            </w:r>
          </w:p>
        </w:tc>
        <w:tc>
          <w:tcPr>
            <w:tcW w:w="0" w:type="auto"/>
            <w:vAlign w:val="bottom"/>
          </w:tcPr>
          <w:p w14:paraId="26DC2BD2" w14:textId="77777777" w:rsidR="00A55B2E" w:rsidRPr="002979FC" w:rsidRDefault="00AC60E6" w:rsidP="005E7722">
            <w:pPr>
              <w:jc w:val="center"/>
              <w:rPr>
                <w:rFonts w:ascii="Book Antiqua" w:hAnsi="Book Antiqua"/>
                <w:sz w:val="24"/>
                <w:szCs w:val="24"/>
              </w:rPr>
            </w:pPr>
            <w:r w:rsidRPr="002979FC">
              <w:rPr>
                <w:rFonts w:ascii="Book Antiqua" w:hAnsi="Book Antiqua"/>
                <w:sz w:val="24"/>
                <w:szCs w:val="24"/>
              </w:rPr>
              <w:t>222,36</w:t>
            </w:r>
          </w:p>
        </w:tc>
        <w:tc>
          <w:tcPr>
            <w:tcW w:w="0" w:type="auto"/>
            <w:vAlign w:val="bottom"/>
          </w:tcPr>
          <w:p w14:paraId="6789CE49"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123,45</w:t>
            </w:r>
          </w:p>
        </w:tc>
        <w:tc>
          <w:tcPr>
            <w:tcW w:w="0" w:type="auto"/>
            <w:vAlign w:val="bottom"/>
          </w:tcPr>
          <w:p w14:paraId="2CBBACCC"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103,72</w:t>
            </w:r>
          </w:p>
        </w:tc>
      </w:tr>
      <w:tr w:rsidR="00A55B2E" w:rsidRPr="002979FC" w14:paraId="08937A99" w14:textId="77777777" w:rsidTr="009633C2">
        <w:trPr>
          <w:trHeight w:val="267"/>
        </w:trPr>
        <w:tc>
          <w:tcPr>
            <w:tcW w:w="0" w:type="auto"/>
            <w:vAlign w:val="bottom"/>
          </w:tcPr>
          <w:p w14:paraId="6CD60AF5"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4</w:t>
            </w:r>
          </w:p>
        </w:tc>
        <w:tc>
          <w:tcPr>
            <w:tcW w:w="0" w:type="auto"/>
            <w:vAlign w:val="bottom"/>
          </w:tcPr>
          <w:p w14:paraId="6A6F3F0E"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2018</w:t>
            </w:r>
          </w:p>
        </w:tc>
        <w:tc>
          <w:tcPr>
            <w:tcW w:w="0" w:type="auto"/>
            <w:vAlign w:val="bottom"/>
          </w:tcPr>
          <w:p w14:paraId="48D2E536"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256,15</w:t>
            </w:r>
          </w:p>
        </w:tc>
        <w:tc>
          <w:tcPr>
            <w:tcW w:w="0" w:type="auto"/>
            <w:vAlign w:val="bottom"/>
          </w:tcPr>
          <w:p w14:paraId="5DB01C63"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141,59</w:t>
            </w:r>
          </w:p>
        </w:tc>
        <w:tc>
          <w:tcPr>
            <w:tcW w:w="0" w:type="auto"/>
            <w:vAlign w:val="bottom"/>
          </w:tcPr>
          <w:p w14:paraId="483DDEA7"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121,10</w:t>
            </w:r>
          </w:p>
        </w:tc>
      </w:tr>
      <w:tr w:rsidR="00A55B2E" w:rsidRPr="002979FC" w14:paraId="672B7261" w14:textId="77777777" w:rsidTr="009633C2">
        <w:trPr>
          <w:trHeight w:val="292"/>
        </w:trPr>
        <w:tc>
          <w:tcPr>
            <w:tcW w:w="0" w:type="auto"/>
            <w:vAlign w:val="bottom"/>
          </w:tcPr>
          <w:p w14:paraId="1CD2EF77"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5</w:t>
            </w:r>
          </w:p>
        </w:tc>
        <w:tc>
          <w:tcPr>
            <w:tcW w:w="0" w:type="auto"/>
            <w:vAlign w:val="bottom"/>
          </w:tcPr>
          <w:p w14:paraId="63395E54"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2019</w:t>
            </w:r>
          </w:p>
        </w:tc>
        <w:tc>
          <w:tcPr>
            <w:tcW w:w="0" w:type="auto"/>
            <w:vAlign w:val="bottom"/>
          </w:tcPr>
          <w:p w14:paraId="2AE49BE7"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429,07</w:t>
            </w:r>
          </w:p>
        </w:tc>
        <w:tc>
          <w:tcPr>
            <w:tcW w:w="0" w:type="auto"/>
            <w:vAlign w:val="bottom"/>
          </w:tcPr>
          <w:p w14:paraId="1F3DA92A"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274,26</w:t>
            </w:r>
          </w:p>
        </w:tc>
        <w:tc>
          <w:tcPr>
            <w:tcW w:w="0" w:type="auto"/>
            <w:vAlign w:val="bottom"/>
          </w:tcPr>
          <w:p w14:paraId="1B8F653C"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231,37</w:t>
            </w:r>
          </w:p>
        </w:tc>
      </w:tr>
      <w:tr w:rsidR="00A55B2E" w:rsidRPr="002979FC" w14:paraId="33B3E24A" w14:textId="77777777" w:rsidTr="009633C2">
        <w:trPr>
          <w:trHeight w:val="292"/>
        </w:trPr>
        <w:tc>
          <w:tcPr>
            <w:tcW w:w="0" w:type="auto"/>
            <w:vAlign w:val="bottom"/>
          </w:tcPr>
          <w:p w14:paraId="08CFED4D"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6</w:t>
            </w:r>
          </w:p>
        </w:tc>
        <w:tc>
          <w:tcPr>
            <w:tcW w:w="0" w:type="auto"/>
            <w:vAlign w:val="bottom"/>
          </w:tcPr>
          <w:p w14:paraId="2BCF5254"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2020</w:t>
            </w:r>
          </w:p>
        </w:tc>
        <w:tc>
          <w:tcPr>
            <w:tcW w:w="0" w:type="auto"/>
            <w:vAlign w:val="bottom"/>
          </w:tcPr>
          <w:p w14:paraId="4B963290"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748,54</w:t>
            </w:r>
          </w:p>
        </w:tc>
        <w:tc>
          <w:tcPr>
            <w:tcW w:w="0" w:type="auto"/>
            <w:vAlign w:val="bottom"/>
          </w:tcPr>
          <w:p w14:paraId="5C1E942E"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593,36</w:t>
            </w:r>
          </w:p>
        </w:tc>
        <w:tc>
          <w:tcPr>
            <w:tcW w:w="0" w:type="auto"/>
            <w:vAlign w:val="bottom"/>
          </w:tcPr>
          <w:p w14:paraId="1C2788B2"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507,20</w:t>
            </w:r>
          </w:p>
        </w:tc>
      </w:tr>
      <w:tr w:rsidR="00A55B2E" w:rsidRPr="002979FC" w14:paraId="40FCC9AB" w14:textId="77777777" w:rsidTr="009633C2">
        <w:trPr>
          <w:trHeight w:val="292"/>
        </w:trPr>
        <w:tc>
          <w:tcPr>
            <w:tcW w:w="0" w:type="auto"/>
            <w:vAlign w:val="bottom"/>
          </w:tcPr>
          <w:p w14:paraId="16FD119E"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7</w:t>
            </w:r>
          </w:p>
        </w:tc>
        <w:tc>
          <w:tcPr>
            <w:tcW w:w="0" w:type="auto"/>
            <w:vAlign w:val="bottom"/>
          </w:tcPr>
          <w:p w14:paraId="0599A0FC"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2021</w:t>
            </w:r>
          </w:p>
        </w:tc>
        <w:tc>
          <w:tcPr>
            <w:tcW w:w="0" w:type="auto"/>
            <w:vAlign w:val="bottom"/>
          </w:tcPr>
          <w:p w14:paraId="71C19B11"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1.204,65</w:t>
            </w:r>
          </w:p>
        </w:tc>
        <w:tc>
          <w:tcPr>
            <w:tcW w:w="0" w:type="auto"/>
            <w:vAlign w:val="bottom"/>
          </w:tcPr>
          <w:p w14:paraId="2B66CBDF"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994,29</w:t>
            </w:r>
          </w:p>
        </w:tc>
        <w:tc>
          <w:tcPr>
            <w:tcW w:w="0" w:type="auto"/>
            <w:vAlign w:val="bottom"/>
          </w:tcPr>
          <w:p w14:paraId="21A7E4AF"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847,35</w:t>
            </w:r>
          </w:p>
        </w:tc>
      </w:tr>
      <w:tr w:rsidR="00A55B2E" w:rsidRPr="002979FC" w14:paraId="536FC447" w14:textId="77777777" w:rsidTr="009633C2">
        <w:trPr>
          <w:trHeight w:val="292"/>
        </w:trPr>
        <w:tc>
          <w:tcPr>
            <w:tcW w:w="0" w:type="auto"/>
            <w:vAlign w:val="bottom"/>
          </w:tcPr>
          <w:p w14:paraId="3CD17286"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8</w:t>
            </w:r>
          </w:p>
        </w:tc>
        <w:tc>
          <w:tcPr>
            <w:tcW w:w="0" w:type="auto"/>
            <w:vAlign w:val="bottom"/>
          </w:tcPr>
          <w:p w14:paraId="4A234A82"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2022</w:t>
            </w:r>
          </w:p>
        </w:tc>
        <w:tc>
          <w:tcPr>
            <w:tcW w:w="0" w:type="auto"/>
            <w:vAlign w:val="bottom"/>
          </w:tcPr>
          <w:p w14:paraId="46EE302C"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361,38</w:t>
            </w:r>
          </w:p>
        </w:tc>
        <w:tc>
          <w:tcPr>
            <w:tcW w:w="0" w:type="auto"/>
            <w:vAlign w:val="bottom"/>
          </w:tcPr>
          <w:p w14:paraId="3ABAE4BF" w14:textId="77777777" w:rsidR="00A55B2E" w:rsidRPr="002979FC" w:rsidRDefault="00AC60E6" w:rsidP="005E7722">
            <w:pPr>
              <w:jc w:val="center"/>
              <w:rPr>
                <w:rFonts w:ascii="Book Antiqua" w:hAnsi="Book Antiqua"/>
                <w:sz w:val="24"/>
                <w:szCs w:val="24"/>
              </w:rPr>
            </w:pPr>
            <w:r w:rsidRPr="002979FC">
              <w:rPr>
                <w:rFonts w:ascii="Book Antiqua" w:hAnsi="Book Antiqua"/>
                <w:sz w:val="24"/>
                <w:szCs w:val="24"/>
              </w:rPr>
              <w:t>296</w:t>
            </w:r>
            <w:r w:rsidR="00A55B2E" w:rsidRPr="002979FC">
              <w:rPr>
                <w:rFonts w:ascii="Book Antiqua" w:hAnsi="Book Antiqua"/>
                <w:sz w:val="24"/>
                <w:szCs w:val="24"/>
              </w:rPr>
              <w:t>,19</w:t>
            </w:r>
          </w:p>
        </w:tc>
        <w:tc>
          <w:tcPr>
            <w:tcW w:w="0" w:type="auto"/>
            <w:vAlign w:val="bottom"/>
          </w:tcPr>
          <w:p w14:paraId="2EE64848"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272,84</w:t>
            </w:r>
          </w:p>
        </w:tc>
      </w:tr>
      <w:tr w:rsidR="00A55B2E" w:rsidRPr="002979FC" w14:paraId="100FD0D3" w14:textId="77777777" w:rsidTr="009633C2">
        <w:trPr>
          <w:trHeight w:val="292"/>
        </w:trPr>
        <w:tc>
          <w:tcPr>
            <w:tcW w:w="0" w:type="auto"/>
            <w:vAlign w:val="bottom"/>
          </w:tcPr>
          <w:p w14:paraId="01C9B4A2"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9</w:t>
            </w:r>
          </w:p>
        </w:tc>
        <w:tc>
          <w:tcPr>
            <w:tcW w:w="0" w:type="auto"/>
            <w:vAlign w:val="bottom"/>
          </w:tcPr>
          <w:p w14:paraId="3223605A"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2023</w:t>
            </w:r>
          </w:p>
        </w:tc>
        <w:tc>
          <w:tcPr>
            <w:tcW w:w="0" w:type="auto"/>
            <w:vAlign w:val="bottom"/>
          </w:tcPr>
          <w:p w14:paraId="12342AB3"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423,93</w:t>
            </w:r>
          </w:p>
        </w:tc>
        <w:tc>
          <w:tcPr>
            <w:tcW w:w="0" w:type="auto"/>
            <w:vAlign w:val="bottom"/>
          </w:tcPr>
          <w:p w14:paraId="7656E2E0"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329,99</w:t>
            </w:r>
          </w:p>
        </w:tc>
        <w:tc>
          <w:tcPr>
            <w:tcW w:w="0" w:type="auto"/>
            <w:vAlign w:val="bottom"/>
          </w:tcPr>
          <w:p w14:paraId="7E4AA102" w14:textId="77777777" w:rsidR="00A55B2E" w:rsidRPr="002979FC" w:rsidRDefault="00AC60E6" w:rsidP="005E7722">
            <w:pPr>
              <w:jc w:val="center"/>
              <w:rPr>
                <w:rFonts w:ascii="Book Antiqua" w:hAnsi="Book Antiqua"/>
                <w:sz w:val="24"/>
                <w:szCs w:val="24"/>
              </w:rPr>
            </w:pPr>
            <w:r w:rsidRPr="002979FC">
              <w:rPr>
                <w:rFonts w:ascii="Book Antiqua" w:hAnsi="Book Antiqua"/>
                <w:sz w:val="24"/>
                <w:szCs w:val="24"/>
              </w:rPr>
              <w:t>323,85</w:t>
            </w:r>
          </w:p>
        </w:tc>
      </w:tr>
      <w:tr w:rsidR="00A55B2E" w:rsidRPr="002979FC" w14:paraId="25F0719B" w14:textId="77777777" w:rsidTr="009633C2">
        <w:trPr>
          <w:trHeight w:val="267"/>
        </w:trPr>
        <w:tc>
          <w:tcPr>
            <w:tcW w:w="0" w:type="auto"/>
            <w:vAlign w:val="bottom"/>
          </w:tcPr>
          <w:p w14:paraId="49CAF54F"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10</w:t>
            </w:r>
          </w:p>
        </w:tc>
        <w:tc>
          <w:tcPr>
            <w:tcW w:w="0" w:type="auto"/>
            <w:vAlign w:val="bottom"/>
          </w:tcPr>
          <w:p w14:paraId="0A31BC8E"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2024</w:t>
            </w:r>
          </w:p>
        </w:tc>
        <w:tc>
          <w:tcPr>
            <w:tcW w:w="0" w:type="auto"/>
            <w:vAlign w:val="bottom"/>
          </w:tcPr>
          <w:p w14:paraId="311B59CC"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474,32</w:t>
            </w:r>
          </w:p>
        </w:tc>
        <w:tc>
          <w:tcPr>
            <w:tcW w:w="0" w:type="auto"/>
            <w:vAlign w:val="bottom"/>
          </w:tcPr>
          <w:p w14:paraId="0150A228"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430,58</w:t>
            </w:r>
          </w:p>
        </w:tc>
        <w:tc>
          <w:tcPr>
            <w:tcW w:w="0" w:type="auto"/>
            <w:vAlign w:val="bottom"/>
          </w:tcPr>
          <w:p w14:paraId="0D69911B"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424,73</w:t>
            </w:r>
          </w:p>
        </w:tc>
      </w:tr>
      <w:tr w:rsidR="00A55B2E" w:rsidRPr="002979FC" w14:paraId="57B1F377" w14:textId="77777777" w:rsidTr="009633C2">
        <w:trPr>
          <w:trHeight w:val="316"/>
        </w:trPr>
        <w:tc>
          <w:tcPr>
            <w:tcW w:w="0" w:type="auto"/>
            <w:vAlign w:val="bottom"/>
          </w:tcPr>
          <w:p w14:paraId="14432084" w14:textId="77777777" w:rsidR="00A55B2E" w:rsidRPr="002979FC" w:rsidRDefault="00A55B2E" w:rsidP="005E7722">
            <w:pPr>
              <w:jc w:val="center"/>
              <w:rPr>
                <w:rFonts w:ascii="Book Antiqua" w:hAnsi="Book Antiqua"/>
                <w:sz w:val="24"/>
                <w:szCs w:val="24"/>
              </w:rPr>
            </w:pPr>
          </w:p>
        </w:tc>
        <w:tc>
          <w:tcPr>
            <w:tcW w:w="0" w:type="auto"/>
            <w:vAlign w:val="bottom"/>
          </w:tcPr>
          <w:p w14:paraId="6E431193" w14:textId="77777777" w:rsidR="00A55B2E" w:rsidRPr="002979FC" w:rsidRDefault="009633C2" w:rsidP="005E7722">
            <w:pPr>
              <w:jc w:val="center"/>
              <w:rPr>
                <w:rFonts w:ascii="Book Antiqua" w:hAnsi="Book Antiqua"/>
                <w:sz w:val="24"/>
                <w:szCs w:val="24"/>
              </w:rPr>
            </w:pPr>
            <w:proofErr w:type="spellStart"/>
            <w:r w:rsidRPr="002979FC">
              <w:rPr>
                <w:rFonts w:ascii="Book Antiqua" w:hAnsi="Book Antiqua"/>
                <w:sz w:val="24"/>
                <w:szCs w:val="24"/>
              </w:rPr>
              <w:t>Avarage</w:t>
            </w:r>
            <w:proofErr w:type="spellEnd"/>
          </w:p>
        </w:tc>
        <w:tc>
          <w:tcPr>
            <w:tcW w:w="0" w:type="auto"/>
            <w:vAlign w:val="bottom"/>
          </w:tcPr>
          <w:p w14:paraId="1E061DA4" w14:textId="77777777" w:rsidR="00A55B2E" w:rsidRPr="002979FC" w:rsidRDefault="00AC60E6" w:rsidP="005E7722">
            <w:pPr>
              <w:jc w:val="center"/>
              <w:rPr>
                <w:rFonts w:ascii="Book Antiqua" w:hAnsi="Book Antiqua"/>
                <w:sz w:val="24"/>
                <w:szCs w:val="24"/>
              </w:rPr>
            </w:pPr>
            <w:r w:rsidRPr="002979FC">
              <w:rPr>
                <w:rFonts w:ascii="Book Antiqua" w:hAnsi="Book Antiqua"/>
                <w:sz w:val="24"/>
                <w:szCs w:val="24"/>
              </w:rPr>
              <w:t>599,96</w:t>
            </w:r>
          </w:p>
        </w:tc>
        <w:tc>
          <w:tcPr>
            <w:tcW w:w="0" w:type="auto"/>
            <w:vAlign w:val="bottom"/>
          </w:tcPr>
          <w:p w14:paraId="6BABE7BB"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459,94</w:t>
            </w:r>
          </w:p>
        </w:tc>
        <w:tc>
          <w:tcPr>
            <w:tcW w:w="0" w:type="auto"/>
            <w:vAlign w:val="bottom"/>
          </w:tcPr>
          <w:p w14:paraId="3CE5D1E4" w14:textId="77777777" w:rsidR="00A55B2E" w:rsidRPr="002979FC" w:rsidRDefault="00A55B2E" w:rsidP="005E7722">
            <w:pPr>
              <w:jc w:val="center"/>
              <w:rPr>
                <w:rFonts w:ascii="Book Antiqua" w:hAnsi="Book Antiqua"/>
                <w:sz w:val="24"/>
                <w:szCs w:val="24"/>
              </w:rPr>
            </w:pPr>
            <w:r w:rsidRPr="002979FC">
              <w:rPr>
                <w:rFonts w:ascii="Book Antiqua" w:hAnsi="Book Antiqua"/>
                <w:sz w:val="24"/>
                <w:szCs w:val="24"/>
              </w:rPr>
              <w:t>395,42</w:t>
            </w:r>
          </w:p>
        </w:tc>
      </w:tr>
    </w:tbl>
    <w:p w14:paraId="60D5FBB0" w14:textId="77777777" w:rsidR="00DA2532" w:rsidRPr="002979FC" w:rsidRDefault="009633C2" w:rsidP="0041547B">
      <w:pPr>
        <w:spacing w:after="0" w:line="240" w:lineRule="auto"/>
        <w:rPr>
          <w:rFonts w:ascii="Book Antiqua" w:hAnsi="Book Antiqua"/>
          <w:sz w:val="24"/>
          <w:szCs w:val="24"/>
        </w:rPr>
      </w:pPr>
      <w:r w:rsidRPr="002979FC">
        <w:rPr>
          <w:rFonts w:ascii="Book Antiqua" w:hAnsi="Book Antiqua"/>
          <w:sz w:val="24"/>
          <w:szCs w:val="24"/>
        </w:rPr>
        <w:t xml:space="preserve">Source: Processed data from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Financial statements (2015-2024)</w:t>
      </w:r>
    </w:p>
    <w:p w14:paraId="0C257884" w14:textId="77777777" w:rsidR="00DA2532" w:rsidRPr="002979FC" w:rsidRDefault="00DA2532" w:rsidP="00371E89">
      <w:pPr>
        <w:spacing w:after="0" w:line="240" w:lineRule="auto"/>
        <w:jc w:val="both"/>
        <w:rPr>
          <w:rFonts w:ascii="Book Antiqua" w:hAnsi="Book Antiqua"/>
          <w:sz w:val="24"/>
          <w:szCs w:val="24"/>
        </w:rPr>
      </w:pPr>
    </w:p>
    <w:p w14:paraId="148D10CF" w14:textId="77777777" w:rsidR="00D06DCF" w:rsidRPr="002979FC" w:rsidRDefault="00052DC3" w:rsidP="00D06DCF">
      <w:pPr>
        <w:spacing w:after="0" w:line="240" w:lineRule="auto"/>
        <w:jc w:val="both"/>
        <w:rPr>
          <w:rFonts w:ascii="Book Antiqua" w:hAnsi="Book Antiqua"/>
          <w:sz w:val="24"/>
          <w:szCs w:val="24"/>
        </w:rPr>
      </w:pPr>
      <w:r w:rsidRPr="002979FC">
        <w:rPr>
          <w:rFonts w:ascii="Book Antiqua" w:hAnsi="Book Antiqua"/>
          <w:noProof/>
          <w:sz w:val="24"/>
          <w:szCs w:val="24"/>
        </w:rPr>
        <w:lastRenderedPageBreak/>
        <w:drawing>
          <wp:inline distT="0" distB="0" distL="0" distR="0" wp14:anchorId="3B0ED1E7" wp14:editId="42974CC8">
            <wp:extent cx="5486400" cy="3418115"/>
            <wp:effectExtent l="0" t="0" r="190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CA992A" w14:textId="77777777" w:rsidR="00AF6449" w:rsidRPr="002979FC" w:rsidRDefault="009633C2" w:rsidP="00C33F7A">
      <w:pPr>
        <w:spacing w:after="0" w:line="240" w:lineRule="auto"/>
        <w:jc w:val="center"/>
        <w:rPr>
          <w:rFonts w:ascii="Book Antiqua" w:hAnsi="Book Antiqua"/>
          <w:sz w:val="24"/>
          <w:szCs w:val="24"/>
        </w:rPr>
      </w:pPr>
      <w:r w:rsidRPr="004F73F5">
        <w:rPr>
          <w:rFonts w:ascii="Book Antiqua" w:hAnsi="Book Antiqua"/>
          <w:sz w:val="24"/>
          <w:szCs w:val="24"/>
        </w:rPr>
        <w:t xml:space="preserve">Figure 1. </w:t>
      </w:r>
      <w:proofErr w:type="spellStart"/>
      <w:r w:rsidRPr="004F73F5">
        <w:rPr>
          <w:rFonts w:ascii="Book Antiqua" w:hAnsi="Book Antiqua"/>
          <w:sz w:val="24"/>
          <w:szCs w:val="24"/>
        </w:rPr>
        <w:t>Liquidty</w:t>
      </w:r>
      <w:proofErr w:type="spellEnd"/>
      <w:r w:rsidRPr="004F73F5">
        <w:rPr>
          <w:rFonts w:ascii="Book Antiqua" w:hAnsi="Book Antiqua"/>
          <w:sz w:val="24"/>
          <w:szCs w:val="24"/>
        </w:rPr>
        <w:t xml:space="preserve"> Ratio of PT Sona </w:t>
      </w:r>
      <w:proofErr w:type="spellStart"/>
      <w:r w:rsidRPr="004F73F5">
        <w:rPr>
          <w:rFonts w:ascii="Book Antiqua" w:hAnsi="Book Antiqua"/>
          <w:sz w:val="24"/>
          <w:szCs w:val="24"/>
        </w:rPr>
        <w:t>Topas</w:t>
      </w:r>
      <w:proofErr w:type="spellEnd"/>
      <w:r w:rsidRPr="004F73F5">
        <w:rPr>
          <w:rFonts w:ascii="Book Antiqua" w:hAnsi="Book Antiqua"/>
          <w:sz w:val="24"/>
          <w:szCs w:val="24"/>
        </w:rPr>
        <w:t xml:space="preserve"> Tourism Industry </w:t>
      </w:r>
      <w:proofErr w:type="spellStart"/>
      <w:r w:rsidRPr="004F73F5">
        <w:rPr>
          <w:rFonts w:ascii="Book Antiqua" w:hAnsi="Book Antiqua"/>
          <w:sz w:val="24"/>
          <w:szCs w:val="24"/>
        </w:rPr>
        <w:t>Tbk</w:t>
      </w:r>
      <w:proofErr w:type="spellEnd"/>
      <w:r w:rsidRPr="004F73F5">
        <w:rPr>
          <w:rFonts w:ascii="Book Antiqua" w:hAnsi="Book Antiqua"/>
          <w:sz w:val="24"/>
          <w:szCs w:val="24"/>
        </w:rPr>
        <w:t xml:space="preserve"> (2015-2024) </w:t>
      </w:r>
    </w:p>
    <w:p w14:paraId="31628A12" w14:textId="77777777" w:rsidR="00B71487" w:rsidRDefault="009633C2" w:rsidP="00A77A93">
      <w:pPr>
        <w:spacing w:after="0" w:line="240" w:lineRule="auto"/>
        <w:jc w:val="both"/>
        <w:rPr>
          <w:rFonts w:ascii="Book Antiqua" w:hAnsi="Book Antiqua"/>
          <w:sz w:val="24"/>
          <w:szCs w:val="24"/>
        </w:rPr>
      </w:pPr>
      <w:r w:rsidRPr="002979FC">
        <w:rPr>
          <w:rFonts w:ascii="Book Antiqua" w:hAnsi="Book Antiqua"/>
          <w:sz w:val="24"/>
          <w:szCs w:val="24"/>
        </w:rPr>
        <w:tab/>
      </w:r>
    </w:p>
    <w:p w14:paraId="3E770C6A" w14:textId="5A96E485" w:rsidR="00B71487" w:rsidRDefault="00B71487" w:rsidP="00A77A93">
      <w:pPr>
        <w:spacing w:after="0" w:line="240" w:lineRule="auto"/>
        <w:jc w:val="both"/>
        <w:rPr>
          <w:rFonts w:ascii="Book Antiqua" w:hAnsi="Book Antiqua"/>
          <w:sz w:val="24"/>
          <w:szCs w:val="24"/>
        </w:rPr>
      </w:pPr>
      <w:r>
        <w:rPr>
          <w:rFonts w:ascii="Book Antiqua" w:hAnsi="Book Antiqua"/>
          <w:sz w:val="24"/>
          <w:szCs w:val="24"/>
        </w:rPr>
        <w:tab/>
      </w:r>
      <w:r w:rsidR="00A77A93" w:rsidRPr="002979FC">
        <w:rPr>
          <w:rFonts w:ascii="Book Antiqua" w:hAnsi="Book Antiqua"/>
          <w:sz w:val="24"/>
          <w:szCs w:val="24"/>
        </w:rPr>
        <w:t>This section presents the results of the liquidity ratio analysis used to evaluate the company’s ability to meet its short-term obligations. The analyzed liquidity ratios include the Current Ratio (CR), Quick Ratio (QR), and Cash Ratio (CR) over the period 2015–2024.</w:t>
      </w:r>
    </w:p>
    <w:p w14:paraId="78240503" w14:textId="77777777" w:rsidR="00A77A93" w:rsidRPr="002979FC" w:rsidRDefault="00B71487" w:rsidP="00A77A93">
      <w:pPr>
        <w:spacing w:after="0" w:line="240" w:lineRule="auto"/>
        <w:jc w:val="both"/>
        <w:rPr>
          <w:rFonts w:ascii="Book Antiqua" w:hAnsi="Book Antiqua"/>
          <w:sz w:val="24"/>
          <w:szCs w:val="24"/>
        </w:rPr>
      </w:pPr>
      <w:r>
        <w:rPr>
          <w:rFonts w:ascii="Book Antiqua" w:hAnsi="Book Antiqua"/>
          <w:sz w:val="24"/>
          <w:szCs w:val="24"/>
        </w:rPr>
        <w:tab/>
      </w:r>
      <w:r w:rsidR="00A77A93" w:rsidRPr="002979FC">
        <w:rPr>
          <w:rFonts w:ascii="Book Antiqua" w:hAnsi="Book Antiqua"/>
          <w:sz w:val="24"/>
          <w:szCs w:val="24"/>
        </w:rPr>
        <w:t xml:space="preserve">Based on the data in Table 1, the Current Ratio fluctuated throughout the study period. The highest value occurred in 2021 at 1,204.65%, while </w:t>
      </w:r>
      <w:r w:rsidR="00AC60E6" w:rsidRPr="002979FC">
        <w:rPr>
          <w:rFonts w:ascii="Book Antiqua" w:hAnsi="Book Antiqua"/>
          <w:sz w:val="24"/>
          <w:szCs w:val="24"/>
        </w:rPr>
        <w:t>the lowest was in 2017 at 222.36</w:t>
      </w:r>
      <w:r w:rsidR="00A77A93" w:rsidRPr="002979FC">
        <w:rPr>
          <w:rFonts w:ascii="Book Antiqua" w:hAnsi="Book Antiqua"/>
          <w:sz w:val="24"/>
          <w:szCs w:val="24"/>
        </w:rPr>
        <w:t>%. The sharp increase in 2021 was driven by a significant rise in current assets relative to current liabilities, indicating that the company had an exceptionally strong ability to cover its short-term debts. The decline in 2017 reflects a growth in liabilities that was not accompanied by a proportional increase in current assets.</w:t>
      </w:r>
    </w:p>
    <w:p w14:paraId="18E1415F" w14:textId="77777777" w:rsidR="00A77A93" w:rsidRPr="002979FC" w:rsidRDefault="009633C2" w:rsidP="00A77A93">
      <w:pPr>
        <w:spacing w:after="0" w:line="240" w:lineRule="auto"/>
        <w:jc w:val="both"/>
        <w:rPr>
          <w:rFonts w:ascii="Book Antiqua" w:hAnsi="Book Antiqua"/>
          <w:sz w:val="24"/>
          <w:szCs w:val="24"/>
        </w:rPr>
      </w:pPr>
      <w:r w:rsidRPr="002979FC">
        <w:rPr>
          <w:rFonts w:ascii="Book Antiqua" w:hAnsi="Book Antiqua"/>
          <w:sz w:val="24"/>
          <w:szCs w:val="24"/>
        </w:rPr>
        <w:tab/>
      </w:r>
      <w:r w:rsidR="00A77A93" w:rsidRPr="002979FC">
        <w:rPr>
          <w:rFonts w:ascii="Book Antiqua" w:hAnsi="Book Antiqua"/>
          <w:sz w:val="24"/>
          <w:szCs w:val="24"/>
        </w:rPr>
        <w:t>The Quick Ratio shows a similar pattern, with the highest value also recorded in 2021 at 994.29%. This suggests that even after excluding inventories, the company maintained a very strong liquidity position. It indicates that the company’s liquid assets were more than sufficient to cover all short-term liabilities without relying on inventory sales.</w:t>
      </w:r>
    </w:p>
    <w:p w14:paraId="1495A7F7" w14:textId="77777777" w:rsidR="00A77A93" w:rsidRPr="002979FC" w:rsidRDefault="009633C2" w:rsidP="00A77A93">
      <w:pPr>
        <w:spacing w:after="0" w:line="240" w:lineRule="auto"/>
        <w:jc w:val="both"/>
        <w:rPr>
          <w:rFonts w:ascii="Book Antiqua" w:hAnsi="Book Antiqua"/>
          <w:sz w:val="24"/>
          <w:szCs w:val="24"/>
        </w:rPr>
      </w:pPr>
      <w:r w:rsidRPr="002979FC">
        <w:rPr>
          <w:rFonts w:ascii="Book Antiqua" w:hAnsi="Book Antiqua"/>
          <w:sz w:val="24"/>
          <w:szCs w:val="24"/>
        </w:rPr>
        <w:tab/>
      </w:r>
      <w:r w:rsidR="00A77A93" w:rsidRPr="002979FC">
        <w:rPr>
          <w:rFonts w:ascii="Book Antiqua" w:hAnsi="Book Antiqua"/>
          <w:sz w:val="24"/>
          <w:szCs w:val="24"/>
        </w:rPr>
        <w:t>Meanwhile, the Cash Ratio represents the company’s ability to pay current liabilities solely with cash and cash equivalents. The highest level was reached in 2021 at 847.35%, while the lowest occurred in 2017 at 103.72%. The significant increase in 2021 reflects the accumulation of cash due to reduced operational activities during the pandemic, as the company prioritized liquidity preservation amid global uncertainty.</w:t>
      </w:r>
    </w:p>
    <w:p w14:paraId="1D1EF129" w14:textId="69C9AEF6" w:rsidR="00C33F7A" w:rsidRPr="002979FC" w:rsidRDefault="009633C2" w:rsidP="00A77A93">
      <w:pPr>
        <w:spacing w:after="0" w:line="240" w:lineRule="auto"/>
        <w:jc w:val="both"/>
        <w:rPr>
          <w:rFonts w:ascii="Book Antiqua" w:hAnsi="Book Antiqua"/>
          <w:sz w:val="24"/>
          <w:szCs w:val="24"/>
        </w:rPr>
      </w:pPr>
      <w:r w:rsidRPr="002979FC">
        <w:rPr>
          <w:rFonts w:ascii="Book Antiqua" w:hAnsi="Book Antiqua"/>
          <w:sz w:val="24"/>
          <w:szCs w:val="24"/>
        </w:rPr>
        <w:tab/>
      </w:r>
      <w:r w:rsidR="00A77A93" w:rsidRPr="002979FC">
        <w:rPr>
          <w:rFonts w:ascii="Book Antiqua" w:hAnsi="Book Antiqua"/>
          <w:sz w:val="24"/>
          <w:szCs w:val="24"/>
        </w:rPr>
        <w:t xml:space="preserve">Overall, the analysis indicates that PT Sona </w:t>
      </w:r>
      <w:proofErr w:type="spellStart"/>
      <w:r w:rsidR="00A77A93" w:rsidRPr="002979FC">
        <w:rPr>
          <w:rFonts w:ascii="Book Antiqua" w:hAnsi="Book Antiqua"/>
          <w:sz w:val="24"/>
          <w:szCs w:val="24"/>
        </w:rPr>
        <w:t>Topas</w:t>
      </w:r>
      <w:proofErr w:type="spellEnd"/>
      <w:r w:rsidR="00A77A93" w:rsidRPr="002979FC">
        <w:rPr>
          <w:rFonts w:ascii="Book Antiqua" w:hAnsi="Book Antiqua"/>
          <w:sz w:val="24"/>
          <w:szCs w:val="24"/>
        </w:rPr>
        <w:t xml:space="preserve"> Tourism Industry </w:t>
      </w:r>
      <w:proofErr w:type="spellStart"/>
      <w:r w:rsidR="00A77A93" w:rsidRPr="002979FC">
        <w:rPr>
          <w:rFonts w:ascii="Book Antiqua" w:hAnsi="Book Antiqua"/>
          <w:sz w:val="24"/>
          <w:szCs w:val="24"/>
        </w:rPr>
        <w:t>Tbk</w:t>
      </w:r>
      <w:proofErr w:type="spellEnd"/>
      <w:r w:rsidR="00A77A93" w:rsidRPr="002979FC">
        <w:rPr>
          <w:rFonts w:ascii="Book Antiqua" w:hAnsi="Book Antiqua"/>
          <w:sz w:val="24"/>
          <w:szCs w:val="24"/>
        </w:rPr>
        <w:t xml:space="preserve"> maintained a strong and stable liquidity position throughout the decade. The substantial increase in 2021 demonstrates prudent financial management aimed at ensuring sufficient cash reserves during economic disruptions. Therefore, the </w:t>
      </w:r>
      <w:r w:rsidR="00A77A93" w:rsidRPr="002979FC">
        <w:rPr>
          <w:rFonts w:ascii="Book Antiqua" w:hAnsi="Book Antiqua"/>
          <w:sz w:val="24"/>
          <w:szCs w:val="24"/>
        </w:rPr>
        <w:lastRenderedPageBreak/>
        <w:t>company exhibited excellent short-term solvency and efficient management of current assets.</w:t>
      </w:r>
    </w:p>
    <w:p w14:paraId="47166D8A" w14:textId="77777777" w:rsidR="00DA2532" w:rsidRPr="004F73F5" w:rsidRDefault="00200E5E" w:rsidP="00A41725">
      <w:pPr>
        <w:spacing w:after="0" w:line="240" w:lineRule="auto"/>
        <w:jc w:val="center"/>
        <w:rPr>
          <w:rFonts w:ascii="Book Antiqua" w:hAnsi="Book Antiqua"/>
          <w:sz w:val="24"/>
          <w:szCs w:val="24"/>
        </w:rPr>
      </w:pPr>
      <w:r w:rsidRPr="004F73F5">
        <w:rPr>
          <w:rFonts w:ascii="Book Antiqua" w:hAnsi="Book Antiqua"/>
          <w:sz w:val="24"/>
          <w:szCs w:val="24"/>
        </w:rPr>
        <w:t xml:space="preserve">Table 2. Solvency Ratio of PT Sona </w:t>
      </w:r>
      <w:proofErr w:type="spellStart"/>
      <w:r w:rsidRPr="004F73F5">
        <w:rPr>
          <w:rFonts w:ascii="Book Antiqua" w:hAnsi="Book Antiqua"/>
          <w:sz w:val="24"/>
          <w:szCs w:val="24"/>
        </w:rPr>
        <w:t>Topas</w:t>
      </w:r>
      <w:proofErr w:type="spellEnd"/>
      <w:r w:rsidRPr="004F73F5">
        <w:rPr>
          <w:rFonts w:ascii="Book Antiqua" w:hAnsi="Book Antiqua"/>
          <w:sz w:val="24"/>
          <w:szCs w:val="24"/>
        </w:rPr>
        <w:t xml:space="preserve"> Tourism Industry </w:t>
      </w:r>
      <w:proofErr w:type="spellStart"/>
      <w:r w:rsidRPr="004F73F5">
        <w:rPr>
          <w:rFonts w:ascii="Book Antiqua" w:hAnsi="Book Antiqua"/>
          <w:sz w:val="24"/>
          <w:szCs w:val="24"/>
        </w:rPr>
        <w:t>Tbk</w:t>
      </w:r>
      <w:proofErr w:type="spellEnd"/>
      <w:r w:rsidRPr="004F73F5">
        <w:rPr>
          <w:rFonts w:ascii="Book Antiqua" w:hAnsi="Book Antiqua"/>
          <w:sz w:val="24"/>
          <w:szCs w:val="24"/>
        </w:rPr>
        <w:t xml:space="preserve"> (2015–2024)</w:t>
      </w:r>
    </w:p>
    <w:tbl>
      <w:tblPr>
        <w:tblStyle w:val="TableGrid"/>
        <w:tblW w:w="0" w:type="auto"/>
        <w:tblLook w:val="04A0" w:firstRow="1" w:lastRow="0" w:firstColumn="1" w:lastColumn="0" w:noHBand="0" w:noVBand="1"/>
      </w:tblPr>
      <w:tblGrid>
        <w:gridCol w:w="547"/>
        <w:gridCol w:w="1122"/>
        <w:gridCol w:w="1999"/>
        <w:gridCol w:w="1343"/>
        <w:gridCol w:w="1519"/>
        <w:gridCol w:w="2487"/>
      </w:tblGrid>
      <w:tr w:rsidR="00A41725" w:rsidRPr="002979FC" w14:paraId="743B6FF7" w14:textId="77777777" w:rsidTr="00AF6449">
        <w:tc>
          <w:tcPr>
            <w:tcW w:w="0" w:type="auto"/>
            <w:vAlign w:val="center"/>
          </w:tcPr>
          <w:p w14:paraId="42751116"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No</w:t>
            </w:r>
          </w:p>
        </w:tc>
        <w:tc>
          <w:tcPr>
            <w:tcW w:w="0" w:type="auto"/>
            <w:vAlign w:val="center"/>
          </w:tcPr>
          <w:p w14:paraId="201D5D8C"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Year</w:t>
            </w:r>
          </w:p>
        </w:tc>
        <w:tc>
          <w:tcPr>
            <w:tcW w:w="0" w:type="auto"/>
            <w:vAlign w:val="center"/>
          </w:tcPr>
          <w:p w14:paraId="219A948F"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Debt to Equity Ratio</w:t>
            </w:r>
            <w:r w:rsidR="00C33F7A">
              <w:rPr>
                <w:rFonts w:ascii="Book Antiqua" w:hAnsi="Book Antiqua"/>
                <w:sz w:val="24"/>
                <w:szCs w:val="24"/>
              </w:rPr>
              <w:t xml:space="preserve"> </w:t>
            </w:r>
            <w:r w:rsidRPr="002979FC">
              <w:rPr>
                <w:rFonts w:ascii="Book Antiqua" w:hAnsi="Book Antiqua"/>
                <w:sz w:val="24"/>
                <w:szCs w:val="24"/>
              </w:rPr>
              <w:t>(%)</w:t>
            </w:r>
          </w:p>
        </w:tc>
        <w:tc>
          <w:tcPr>
            <w:tcW w:w="0" w:type="auto"/>
            <w:vAlign w:val="center"/>
          </w:tcPr>
          <w:p w14:paraId="4241FD7A"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Debt Ratio</w:t>
            </w:r>
            <w:r w:rsidR="00C33F7A">
              <w:rPr>
                <w:rFonts w:ascii="Book Antiqua" w:hAnsi="Book Antiqua"/>
                <w:sz w:val="24"/>
                <w:szCs w:val="24"/>
              </w:rPr>
              <w:t xml:space="preserve"> </w:t>
            </w:r>
            <w:r w:rsidRPr="002979FC">
              <w:rPr>
                <w:rFonts w:ascii="Book Antiqua" w:hAnsi="Book Antiqua"/>
                <w:sz w:val="24"/>
                <w:szCs w:val="24"/>
              </w:rPr>
              <w:t>(%)</w:t>
            </w:r>
          </w:p>
        </w:tc>
        <w:tc>
          <w:tcPr>
            <w:tcW w:w="0" w:type="auto"/>
            <w:vAlign w:val="center"/>
          </w:tcPr>
          <w:p w14:paraId="78A60EC1"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Equity Ratio</w:t>
            </w:r>
            <w:r w:rsidR="00C33F7A">
              <w:rPr>
                <w:rFonts w:ascii="Book Antiqua" w:hAnsi="Book Antiqua"/>
                <w:sz w:val="24"/>
                <w:szCs w:val="24"/>
              </w:rPr>
              <w:t xml:space="preserve"> </w:t>
            </w:r>
            <w:r w:rsidRPr="002979FC">
              <w:rPr>
                <w:rFonts w:ascii="Book Antiqua" w:hAnsi="Book Antiqua"/>
                <w:sz w:val="24"/>
                <w:szCs w:val="24"/>
              </w:rPr>
              <w:t>(%)</w:t>
            </w:r>
          </w:p>
        </w:tc>
        <w:tc>
          <w:tcPr>
            <w:tcW w:w="0" w:type="auto"/>
            <w:vAlign w:val="center"/>
          </w:tcPr>
          <w:p w14:paraId="1590EF5D"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Times Interest Earned Ratio</w:t>
            </w:r>
            <w:r w:rsidR="00C33F7A">
              <w:rPr>
                <w:rFonts w:ascii="Book Antiqua" w:hAnsi="Book Antiqua"/>
                <w:sz w:val="24"/>
                <w:szCs w:val="24"/>
              </w:rPr>
              <w:t xml:space="preserve"> </w:t>
            </w:r>
            <w:r w:rsidRPr="002979FC">
              <w:rPr>
                <w:rFonts w:ascii="Book Antiqua" w:hAnsi="Book Antiqua"/>
                <w:sz w:val="24"/>
                <w:szCs w:val="24"/>
              </w:rPr>
              <w:t>(%)</w:t>
            </w:r>
          </w:p>
        </w:tc>
      </w:tr>
      <w:tr w:rsidR="00A41725" w:rsidRPr="002979FC" w14:paraId="0877562E" w14:textId="77777777" w:rsidTr="00AF6449">
        <w:tc>
          <w:tcPr>
            <w:tcW w:w="0" w:type="auto"/>
            <w:vAlign w:val="center"/>
          </w:tcPr>
          <w:p w14:paraId="274344E0"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1</w:t>
            </w:r>
          </w:p>
        </w:tc>
        <w:tc>
          <w:tcPr>
            <w:tcW w:w="0" w:type="auto"/>
            <w:vAlign w:val="center"/>
          </w:tcPr>
          <w:p w14:paraId="5AB61FD0"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2015</w:t>
            </w:r>
          </w:p>
        </w:tc>
        <w:tc>
          <w:tcPr>
            <w:tcW w:w="0" w:type="auto"/>
            <w:vAlign w:val="center"/>
          </w:tcPr>
          <w:p w14:paraId="17EF519F"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119,10</w:t>
            </w:r>
          </w:p>
        </w:tc>
        <w:tc>
          <w:tcPr>
            <w:tcW w:w="0" w:type="auto"/>
            <w:vAlign w:val="center"/>
          </w:tcPr>
          <w:p w14:paraId="531AF92F"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23,45</w:t>
            </w:r>
          </w:p>
        </w:tc>
        <w:tc>
          <w:tcPr>
            <w:tcW w:w="0" w:type="auto"/>
            <w:vAlign w:val="center"/>
          </w:tcPr>
          <w:p w14:paraId="4CD6514C"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19,69</w:t>
            </w:r>
          </w:p>
        </w:tc>
        <w:tc>
          <w:tcPr>
            <w:tcW w:w="0" w:type="auto"/>
            <w:vAlign w:val="center"/>
          </w:tcPr>
          <w:p w14:paraId="54F9A68D"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2165,34</w:t>
            </w:r>
          </w:p>
        </w:tc>
      </w:tr>
      <w:tr w:rsidR="00A41725" w:rsidRPr="002979FC" w14:paraId="1F89250C" w14:textId="77777777" w:rsidTr="00AF6449">
        <w:tc>
          <w:tcPr>
            <w:tcW w:w="0" w:type="auto"/>
            <w:vAlign w:val="center"/>
          </w:tcPr>
          <w:p w14:paraId="6531C5DA"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2</w:t>
            </w:r>
          </w:p>
        </w:tc>
        <w:tc>
          <w:tcPr>
            <w:tcW w:w="0" w:type="auto"/>
            <w:vAlign w:val="center"/>
          </w:tcPr>
          <w:p w14:paraId="41801D4D"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2016</w:t>
            </w:r>
          </w:p>
        </w:tc>
        <w:tc>
          <w:tcPr>
            <w:tcW w:w="0" w:type="auto"/>
            <w:vAlign w:val="center"/>
          </w:tcPr>
          <w:p w14:paraId="6AF0FC65"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140,63</w:t>
            </w:r>
          </w:p>
        </w:tc>
        <w:tc>
          <w:tcPr>
            <w:tcW w:w="0" w:type="auto"/>
            <w:vAlign w:val="center"/>
          </w:tcPr>
          <w:p w14:paraId="3A0F9E56"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30,51</w:t>
            </w:r>
          </w:p>
        </w:tc>
        <w:tc>
          <w:tcPr>
            <w:tcW w:w="0" w:type="auto"/>
            <w:vAlign w:val="center"/>
          </w:tcPr>
          <w:p w14:paraId="043A1599"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21,69</w:t>
            </w:r>
          </w:p>
        </w:tc>
        <w:tc>
          <w:tcPr>
            <w:tcW w:w="0" w:type="auto"/>
            <w:vAlign w:val="center"/>
          </w:tcPr>
          <w:p w14:paraId="435B4594"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-31,18</w:t>
            </w:r>
          </w:p>
        </w:tc>
      </w:tr>
      <w:tr w:rsidR="00A41725" w:rsidRPr="002979FC" w14:paraId="1211FFBA" w14:textId="77777777" w:rsidTr="00AF6449">
        <w:tc>
          <w:tcPr>
            <w:tcW w:w="0" w:type="auto"/>
            <w:vAlign w:val="center"/>
          </w:tcPr>
          <w:p w14:paraId="6B5EEE83"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3</w:t>
            </w:r>
          </w:p>
        </w:tc>
        <w:tc>
          <w:tcPr>
            <w:tcW w:w="0" w:type="auto"/>
            <w:vAlign w:val="center"/>
          </w:tcPr>
          <w:p w14:paraId="33F0F76D"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2017</w:t>
            </w:r>
          </w:p>
        </w:tc>
        <w:tc>
          <w:tcPr>
            <w:tcW w:w="0" w:type="auto"/>
            <w:vAlign w:val="center"/>
          </w:tcPr>
          <w:p w14:paraId="3E50D05D"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186,73</w:t>
            </w:r>
          </w:p>
        </w:tc>
        <w:tc>
          <w:tcPr>
            <w:tcW w:w="0" w:type="auto"/>
            <w:vAlign w:val="center"/>
          </w:tcPr>
          <w:p w14:paraId="3D56495D"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36,59</w:t>
            </w:r>
          </w:p>
        </w:tc>
        <w:tc>
          <w:tcPr>
            <w:tcW w:w="0" w:type="auto"/>
            <w:vAlign w:val="center"/>
          </w:tcPr>
          <w:p w14:paraId="32495CDD"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19,60</w:t>
            </w:r>
          </w:p>
        </w:tc>
        <w:tc>
          <w:tcPr>
            <w:tcW w:w="0" w:type="auto"/>
            <w:vAlign w:val="center"/>
          </w:tcPr>
          <w:p w14:paraId="437C493A"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1387,89</w:t>
            </w:r>
          </w:p>
        </w:tc>
      </w:tr>
      <w:tr w:rsidR="00A41725" w:rsidRPr="002979FC" w14:paraId="589A7B21" w14:textId="77777777" w:rsidTr="00AF6449">
        <w:tc>
          <w:tcPr>
            <w:tcW w:w="0" w:type="auto"/>
            <w:vAlign w:val="center"/>
          </w:tcPr>
          <w:p w14:paraId="578C4B40"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4</w:t>
            </w:r>
          </w:p>
        </w:tc>
        <w:tc>
          <w:tcPr>
            <w:tcW w:w="0" w:type="auto"/>
            <w:vAlign w:val="center"/>
          </w:tcPr>
          <w:p w14:paraId="3C2FB76F"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2018</w:t>
            </w:r>
          </w:p>
        </w:tc>
        <w:tc>
          <w:tcPr>
            <w:tcW w:w="0" w:type="auto"/>
            <w:vAlign w:val="center"/>
          </w:tcPr>
          <w:p w14:paraId="0D9CE75B"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196,98</w:t>
            </w:r>
          </w:p>
        </w:tc>
        <w:tc>
          <w:tcPr>
            <w:tcW w:w="0" w:type="auto"/>
            <w:vAlign w:val="center"/>
          </w:tcPr>
          <w:p w14:paraId="57645337"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35,23</w:t>
            </w:r>
          </w:p>
        </w:tc>
        <w:tc>
          <w:tcPr>
            <w:tcW w:w="0" w:type="auto"/>
            <w:vAlign w:val="center"/>
          </w:tcPr>
          <w:p w14:paraId="3ED957EC"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17,88</w:t>
            </w:r>
          </w:p>
        </w:tc>
        <w:tc>
          <w:tcPr>
            <w:tcW w:w="0" w:type="auto"/>
            <w:vAlign w:val="center"/>
          </w:tcPr>
          <w:p w14:paraId="330EC4A3"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2215,41</w:t>
            </w:r>
          </w:p>
        </w:tc>
      </w:tr>
      <w:tr w:rsidR="00A41725" w:rsidRPr="002979FC" w14:paraId="5DF194AE" w14:textId="77777777" w:rsidTr="00AF6449">
        <w:tc>
          <w:tcPr>
            <w:tcW w:w="0" w:type="auto"/>
            <w:vAlign w:val="center"/>
          </w:tcPr>
          <w:p w14:paraId="397279A1"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5</w:t>
            </w:r>
          </w:p>
        </w:tc>
        <w:tc>
          <w:tcPr>
            <w:tcW w:w="0" w:type="auto"/>
            <w:vAlign w:val="center"/>
          </w:tcPr>
          <w:p w14:paraId="77B0EAC1"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2019</w:t>
            </w:r>
          </w:p>
        </w:tc>
        <w:tc>
          <w:tcPr>
            <w:tcW w:w="0" w:type="auto"/>
            <w:vAlign w:val="center"/>
          </w:tcPr>
          <w:p w14:paraId="592AE313"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123,95</w:t>
            </w:r>
          </w:p>
        </w:tc>
        <w:tc>
          <w:tcPr>
            <w:tcW w:w="0" w:type="auto"/>
            <w:vAlign w:val="center"/>
          </w:tcPr>
          <w:p w14:paraId="5D563E92"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24,97</w:t>
            </w:r>
          </w:p>
        </w:tc>
        <w:tc>
          <w:tcPr>
            <w:tcW w:w="0" w:type="auto"/>
            <w:vAlign w:val="center"/>
          </w:tcPr>
          <w:p w14:paraId="50AB4BBE" w14:textId="77777777" w:rsidR="00A41725" w:rsidRPr="002979FC" w:rsidRDefault="00975800" w:rsidP="00AF6449">
            <w:pPr>
              <w:jc w:val="center"/>
              <w:rPr>
                <w:rFonts w:ascii="Book Antiqua" w:hAnsi="Book Antiqua"/>
                <w:sz w:val="24"/>
                <w:szCs w:val="24"/>
              </w:rPr>
            </w:pPr>
            <w:r w:rsidRPr="002979FC">
              <w:rPr>
                <w:rFonts w:ascii="Book Antiqua" w:hAnsi="Book Antiqua"/>
                <w:sz w:val="24"/>
                <w:szCs w:val="24"/>
              </w:rPr>
              <w:t>20,15</w:t>
            </w:r>
          </w:p>
        </w:tc>
        <w:tc>
          <w:tcPr>
            <w:tcW w:w="0" w:type="auto"/>
            <w:vAlign w:val="center"/>
          </w:tcPr>
          <w:p w14:paraId="568596A8"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1169,16</w:t>
            </w:r>
          </w:p>
        </w:tc>
      </w:tr>
      <w:tr w:rsidR="00A41725" w:rsidRPr="002979FC" w14:paraId="1B2C6B7A" w14:textId="77777777" w:rsidTr="00AF6449">
        <w:tc>
          <w:tcPr>
            <w:tcW w:w="0" w:type="auto"/>
            <w:vAlign w:val="center"/>
          </w:tcPr>
          <w:p w14:paraId="17E1B566"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6</w:t>
            </w:r>
          </w:p>
        </w:tc>
        <w:tc>
          <w:tcPr>
            <w:tcW w:w="0" w:type="auto"/>
            <w:vAlign w:val="center"/>
          </w:tcPr>
          <w:p w14:paraId="48F8C9E5"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2020</w:t>
            </w:r>
          </w:p>
        </w:tc>
        <w:tc>
          <w:tcPr>
            <w:tcW w:w="0" w:type="auto"/>
            <w:vAlign w:val="center"/>
          </w:tcPr>
          <w:p w14:paraId="0B6626BE"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67,23</w:t>
            </w:r>
          </w:p>
        </w:tc>
        <w:tc>
          <w:tcPr>
            <w:tcW w:w="0" w:type="auto"/>
            <w:vAlign w:val="center"/>
          </w:tcPr>
          <w:p w14:paraId="68E9049D"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17,61</w:t>
            </w:r>
          </w:p>
        </w:tc>
        <w:tc>
          <w:tcPr>
            <w:tcW w:w="0" w:type="auto"/>
            <w:vAlign w:val="center"/>
          </w:tcPr>
          <w:p w14:paraId="4E62E0B6" w14:textId="77777777" w:rsidR="00A41725" w:rsidRPr="002979FC" w:rsidRDefault="00975800" w:rsidP="00AF6449">
            <w:pPr>
              <w:jc w:val="center"/>
              <w:rPr>
                <w:rFonts w:ascii="Book Antiqua" w:hAnsi="Book Antiqua"/>
                <w:sz w:val="24"/>
                <w:szCs w:val="24"/>
              </w:rPr>
            </w:pPr>
            <w:r w:rsidRPr="002979FC">
              <w:rPr>
                <w:rFonts w:ascii="Book Antiqua" w:hAnsi="Book Antiqua"/>
                <w:sz w:val="24"/>
                <w:szCs w:val="24"/>
              </w:rPr>
              <w:t>26,20</w:t>
            </w:r>
          </w:p>
        </w:tc>
        <w:tc>
          <w:tcPr>
            <w:tcW w:w="0" w:type="auto"/>
            <w:vAlign w:val="center"/>
          </w:tcPr>
          <w:p w14:paraId="4253929D"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-2310,12</w:t>
            </w:r>
          </w:p>
        </w:tc>
      </w:tr>
      <w:tr w:rsidR="00A41725" w:rsidRPr="002979FC" w14:paraId="720D793D" w14:textId="77777777" w:rsidTr="00AF6449">
        <w:tc>
          <w:tcPr>
            <w:tcW w:w="0" w:type="auto"/>
            <w:vAlign w:val="center"/>
          </w:tcPr>
          <w:p w14:paraId="1223E404"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7</w:t>
            </w:r>
          </w:p>
        </w:tc>
        <w:tc>
          <w:tcPr>
            <w:tcW w:w="0" w:type="auto"/>
            <w:vAlign w:val="center"/>
          </w:tcPr>
          <w:p w14:paraId="05EF25E1"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2021</w:t>
            </w:r>
          </w:p>
        </w:tc>
        <w:tc>
          <w:tcPr>
            <w:tcW w:w="0" w:type="auto"/>
            <w:vAlign w:val="center"/>
          </w:tcPr>
          <w:p w14:paraId="428CD399"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41,13</w:t>
            </w:r>
          </w:p>
        </w:tc>
        <w:tc>
          <w:tcPr>
            <w:tcW w:w="0" w:type="auto"/>
            <w:vAlign w:val="center"/>
          </w:tcPr>
          <w:p w14:paraId="2F9E6A87"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12,44</w:t>
            </w:r>
          </w:p>
        </w:tc>
        <w:tc>
          <w:tcPr>
            <w:tcW w:w="0" w:type="auto"/>
            <w:vAlign w:val="center"/>
          </w:tcPr>
          <w:p w14:paraId="6B697DA1" w14:textId="77777777" w:rsidR="00A41725" w:rsidRPr="002979FC" w:rsidRDefault="00975800" w:rsidP="00AF6449">
            <w:pPr>
              <w:jc w:val="center"/>
              <w:rPr>
                <w:rFonts w:ascii="Book Antiqua" w:hAnsi="Book Antiqua"/>
                <w:sz w:val="24"/>
                <w:szCs w:val="24"/>
              </w:rPr>
            </w:pPr>
            <w:r w:rsidRPr="002979FC">
              <w:rPr>
                <w:rFonts w:ascii="Book Antiqua" w:hAnsi="Book Antiqua"/>
                <w:sz w:val="24"/>
                <w:szCs w:val="24"/>
              </w:rPr>
              <w:t>30,23</w:t>
            </w:r>
          </w:p>
        </w:tc>
        <w:tc>
          <w:tcPr>
            <w:tcW w:w="0" w:type="auto"/>
            <w:vAlign w:val="center"/>
          </w:tcPr>
          <w:p w14:paraId="4905795B"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-1266,19</w:t>
            </w:r>
          </w:p>
        </w:tc>
      </w:tr>
      <w:tr w:rsidR="00A41725" w:rsidRPr="002979FC" w14:paraId="55129BE7" w14:textId="77777777" w:rsidTr="00AF6449">
        <w:tc>
          <w:tcPr>
            <w:tcW w:w="0" w:type="auto"/>
            <w:vAlign w:val="center"/>
          </w:tcPr>
          <w:p w14:paraId="09F1098E"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8</w:t>
            </w:r>
          </w:p>
        </w:tc>
        <w:tc>
          <w:tcPr>
            <w:tcW w:w="0" w:type="auto"/>
            <w:vAlign w:val="center"/>
          </w:tcPr>
          <w:p w14:paraId="7F0851BE"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2022</w:t>
            </w:r>
          </w:p>
        </w:tc>
        <w:tc>
          <w:tcPr>
            <w:tcW w:w="0" w:type="auto"/>
            <w:vAlign w:val="center"/>
          </w:tcPr>
          <w:p w14:paraId="7D34D8F6"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167,72</w:t>
            </w:r>
          </w:p>
        </w:tc>
        <w:tc>
          <w:tcPr>
            <w:tcW w:w="0" w:type="auto"/>
            <w:vAlign w:val="center"/>
          </w:tcPr>
          <w:p w14:paraId="6F7447C8" w14:textId="77777777" w:rsidR="00A41725" w:rsidRPr="002979FC" w:rsidRDefault="00975800" w:rsidP="00AF6449">
            <w:pPr>
              <w:jc w:val="center"/>
              <w:rPr>
                <w:rFonts w:ascii="Book Antiqua" w:hAnsi="Book Antiqua"/>
                <w:sz w:val="24"/>
                <w:szCs w:val="24"/>
              </w:rPr>
            </w:pPr>
            <w:r w:rsidRPr="002979FC">
              <w:rPr>
                <w:rFonts w:ascii="Book Antiqua" w:hAnsi="Book Antiqua"/>
                <w:sz w:val="24"/>
                <w:szCs w:val="24"/>
              </w:rPr>
              <w:t>38,48</w:t>
            </w:r>
          </w:p>
        </w:tc>
        <w:tc>
          <w:tcPr>
            <w:tcW w:w="0" w:type="auto"/>
            <w:vAlign w:val="center"/>
          </w:tcPr>
          <w:p w14:paraId="5AF2AB95"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22,94</w:t>
            </w:r>
          </w:p>
        </w:tc>
        <w:tc>
          <w:tcPr>
            <w:tcW w:w="0" w:type="auto"/>
            <w:vAlign w:val="center"/>
          </w:tcPr>
          <w:p w14:paraId="2AAD4A92"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-109,88</w:t>
            </w:r>
          </w:p>
        </w:tc>
      </w:tr>
      <w:tr w:rsidR="00A41725" w:rsidRPr="002979FC" w14:paraId="3C94B2DD" w14:textId="77777777" w:rsidTr="00AF6449">
        <w:tc>
          <w:tcPr>
            <w:tcW w:w="0" w:type="auto"/>
            <w:vAlign w:val="center"/>
          </w:tcPr>
          <w:p w14:paraId="45F3D717"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9</w:t>
            </w:r>
          </w:p>
        </w:tc>
        <w:tc>
          <w:tcPr>
            <w:tcW w:w="0" w:type="auto"/>
            <w:vAlign w:val="center"/>
          </w:tcPr>
          <w:p w14:paraId="368F75F5"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2023</w:t>
            </w:r>
          </w:p>
        </w:tc>
        <w:tc>
          <w:tcPr>
            <w:tcW w:w="0" w:type="auto"/>
            <w:vAlign w:val="center"/>
          </w:tcPr>
          <w:p w14:paraId="38AD015C"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137,28</w:t>
            </w:r>
          </w:p>
        </w:tc>
        <w:tc>
          <w:tcPr>
            <w:tcW w:w="0" w:type="auto"/>
            <w:vAlign w:val="center"/>
          </w:tcPr>
          <w:p w14:paraId="6019F997"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34,14</w:t>
            </w:r>
          </w:p>
        </w:tc>
        <w:tc>
          <w:tcPr>
            <w:tcW w:w="0" w:type="auto"/>
            <w:vAlign w:val="center"/>
          </w:tcPr>
          <w:p w14:paraId="5F890785"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24,87</w:t>
            </w:r>
          </w:p>
        </w:tc>
        <w:tc>
          <w:tcPr>
            <w:tcW w:w="0" w:type="auto"/>
            <w:vAlign w:val="center"/>
          </w:tcPr>
          <w:p w14:paraId="26F26836"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300,22</w:t>
            </w:r>
          </w:p>
        </w:tc>
      </w:tr>
      <w:tr w:rsidR="00A41725" w:rsidRPr="002979FC" w14:paraId="4FC177A9" w14:textId="77777777" w:rsidTr="00AF6449">
        <w:tc>
          <w:tcPr>
            <w:tcW w:w="0" w:type="auto"/>
            <w:vAlign w:val="center"/>
          </w:tcPr>
          <w:p w14:paraId="2F9E9A8F" w14:textId="77777777" w:rsidR="00A41725" w:rsidRPr="002979FC" w:rsidRDefault="00A41725" w:rsidP="00AF6449">
            <w:pPr>
              <w:jc w:val="center"/>
              <w:rPr>
                <w:rFonts w:ascii="Book Antiqua" w:hAnsi="Book Antiqua"/>
                <w:sz w:val="24"/>
                <w:szCs w:val="24"/>
              </w:rPr>
            </w:pPr>
            <w:r w:rsidRPr="002979FC">
              <w:rPr>
                <w:rFonts w:ascii="Book Antiqua" w:hAnsi="Book Antiqua"/>
                <w:sz w:val="24"/>
                <w:szCs w:val="24"/>
              </w:rPr>
              <w:t>10</w:t>
            </w:r>
          </w:p>
        </w:tc>
        <w:tc>
          <w:tcPr>
            <w:tcW w:w="0" w:type="auto"/>
            <w:vAlign w:val="center"/>
          </w:tcPr>
          <w:p w14:paraId="729C245B"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2024</w:t>
            </w:r>
          </w:p>
        </w:tc>
        <w:tc>
          <w:tcPr>
            <w:tcW w:w="0" w:type="auto"/>
            <w:vAlign w:val="center"/>
          </w:tcPr>
          <w:p w14:paraId="6B2BB10A"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123,34</w:t>
            </w:r>
          </w:p>
        </w:tc>
        <w:tc>
          <w:tcPr>
            <w:tcW w:w="0" w:type="auto"/>
            <w:vAlign w:val="center"/>
          </w:tcPr>
          <w:p w14:paraId="0633C1C0" w14:textId="77777777" w:rsidR="00A41725" w:rsidRPr="002979FC" w:rsidRDefault="00975800" w:rsidP="00AF6449">
            <w:pPr>
              <w:jc w:val="center"/>
              <w:rPr>
                <w:rFonts w:ascii="Book Antiqua" w:hAnsi="Book Antiqua"/>
                <w:sz w:val="24"/>
                <w:szCs w:val="24"/>
              </w:rPr>
            </w:pPr>
            <w:r w:rsidRPr="002979FC">
              <w:rPr>
                <w:rFonts w:ascii="Book Antiqua" w:hAnsi="Book Antiqua"/>
                <w:sz w:val="24"/>
                <w:szCs w:val="24"/>
              </w:rPr>
              <w:t>30,26</w:t>
            </w:r>
          </w:p>
        </w:tc>
        <w:tc>
          <w:tcPr>
            <w:tcW w:w="0" w:type="auto"/>
            <w:vAlign w:val="center"/>
          </w:tcPr>
          <w:p w14:paraId="0A9C92A2" w14:textId="77777777" w:rsidR="00A41725" w:rsidRPr="002979FC" w:rsidRDefault="00F7612F" w:rsidP="00AF6449">
            <w:pPr>
              <w:jc w:val="center"/>
              <w:rPr>
                <w:rFonts w:ascii="Book Antiqua" w:hAnsi="Book Antiqua"/>
                <w:sz w:val="24"/>
                <w:szCs w:val="24"/>
              </w:rPr>
            </w:pPr>
            <w:r w:rsidRPr="002979FC">
              <w:rPr>
                <w:rFonts w:ascii="Book Antiqua" w:hAnsi="Book Antiqua"/>
                <w:sz w:val="24"/>
                <w:szCs w:val="24"/>
              </w:rPr>
              <w:t>24,53</w:t>
            </w:r>
          </w:p>
        </w:tc>
        <w:tc>
          <w:tcPr>
            <w:tcW w:w="0" w:type="auto"/>
            <w:vAlign w:val="center"/>
          </w:tcPr>
          <w:p w14:paraId="33B206F3"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420,76</w:t>
            </w:r>
          </w:p>
        </w:tc>
      </w:tr>
      <w:tr w:rsidR="00A41725" w:rsidRPr="002979FC" w14:paraId="14D43212" w14:textId="77777777" w:rsidTr="00AF6449">
        <w:tc>
          <w:tcPr>
            <w:tcW w:w="0" w:type="auto"/>
            <w:vAlign w:val="center"/>
          </w:tcPr>
          <w:p w14:paraId="4C187100" w14:textId="77777777" w:rsidR="00A41725" w:rsidRPr="002979FC" w:rsidRDefault="00A41725" w:rsidP="00AF6449">
            <w:pPr>
              <w:jc w:val="center"/>
              <w:rPr>
                <w:rFonts w:ascii="Book Antiqua" w:hAnsi="Book Antiqua"/>
                <w:sz w:val="24"/>
                <w:szCs w:val="24"/>
              </w:rPr>
            </w:pPr>
          </w:p>
        </w:tc>
        <w:tc>
          <w:tcPr>
            <w:tcW w:w="0" w:type="auto"/>
            <w:vAlign w:val="center"/>
          </w:tcPr>
          <w:p w14:paraId="60B3E856" w14:textId="77777777" w:rsidR="00A41725" w:rsidRPr="002979FC" w:rsidRDefault="00A41725" w:rsidP="00AF6449">
            <w:pPr>
              <w:jc w:val="center"/>
              <w:rPr>
                <w:rFonts w:ascii="Book Antiqua" w:hAnsi="Book Antiqua"/>
                <w:sz w:val="24"/>
                <w:szCs w:val="24"/>
              </w:rPr>
            </w:pPr>
            <w:proofErr w:type="spellStart"/>
            <w:r w:rsidRPr="002979FC">
              <w:rPr>
                <w:rFonts w:ascii="Book Antiqua" w:hAnsi="Book Antiqua"/>
                <w:sz w:val="24"/>
                <w:szCs w:val="24"/>
              </w:rPr>
              <w:t>Avarage</w:t>
            </w:r>
            <w:proofErr w:type="spellEnd"/>
          </w:p>
        </w:tc>
        <w:tc>
          <w:tcPr>
            <w:tcW w:w="0" w:type="auto"/>
            <w:vAlign w:val="center"/>
          </w:tcPr>
          <w:p w14:paraId="70E51530"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119,40</w:t>
            </w:r>
          </w:p>
        </w:tc>
        <w:tc>
          <w:tcPr>
            <w:tcW w:w="0" w:type="auto"/>
            <w:vAlign w:val="center"/>
          </w:tcPr>
          <w:p w14:paraId="1F6ACC7F"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25,75</w:t>
            </w:r>
          </w:p>
        </w:tc>
        <w:tc>
          <w:tcPr>
            <w:tcW w:w="0" w:type="auto"/>
            <w:vAlign w:val="center"/>
          </w:tcPr>
          <w:p w14:paraId="5F33F9EE"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23,48</w:t>
            </w:r>
          </w:p>
        </w:tc>
        <w:tc>
          <w:tcPr>
            <w:tcW w:w="0" w:type="auto"/>
            <w:vAlign w:val="center"/>
          </w:tcPr>
          <w:p w14:paraId="6807F879" w14:textId="77777777" w:rsidR="00A41725" w:rsidRPr="002979FC" w:rsidRDefault="00AF6449" w:rsidP="00AF6449">
            <w:pPr>
              <w:jc w:val="center"/>
              <w:rPr>
                <w:rFonts w:ascii="Book Antiqua" w:hAnsi="Book Antiqua"/>
                <w:sz w:val="24"/>
                <w:szCs w:val="24"/>
              </w:rPr>
            </w:pPr>
            <w:r w:rsidRPr="002979FC">
              <w:rPr>
                <w:rFonts w:ascii="Book Antiqua" w:hAnsi="Book Antiqua"/>
                <w:sz w:val="24"/>
                <w:szCs w:val="24"/>
              </w:rPr>
              <w:t>-240,33</w:t>
            </w:r>
          </w:p>
        </w:tc>
      </w:tr>
    </w:tbl>
    <w:p w14:paraId="2B919689" w14:textId="77777777" w:rsidR="00C33F7A" w:rsidRPr="002979FC" w:rsidRDefault="00AF6449" w:rsidP="0041547B">
      <w:pPr>
        <w:rPr>
          <w:rFonts w:ascii="Book Antiqua" w:hAnsi="Book Antiqua"/>
          <w:sz w:val="24"/>
          <w:szCs w:val="24"/>
        </w:rPr>
      </w:pPr>
      <w:r w:rsidRPr="002979FC">
        <w:rPr>
          <w:rFonts w:ascii="Book Antiqua" w:hAnsi="Book Antiqua"/>
          <w:sz w:val="24"/>
          <w:szCs w:val="24"/>
        </w:rPr>
        <w:t xml:space="preserve">Source: Processed data from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Financial statements (2015-2024)</w:t>
      </w:r>
    </w:p>
    <w:p w14:paraId="0B48CFE1" w14:textId="77777777" w:rsidR="00DA2532" w:rsidRPr="002979FC" w:rsidRDefault="00AF6449" w:rsidP="00B71487">
      <w:pPr>
        <w:jc w:val="center"/>
        <w:rPr>
          <w:rFonts w:ascii="Book Antiqua" w:hAnsi="Book Antiqua"/>
          <w:sz w:val="24"/>
          <w:szCs w:val="24"/>
        </w:rPr>
      </w:pPr>
      <w:r w:rsidRPr="002979FC">
        <w:rPr>
          <w:rFonts w:ascii="Book Antiqua" w:hAnsi="Book Antiqua"/>
          <w:noProof/>
          <w:sz w:val="24"/>
          <w:szCs w:val="24"/>
        </w:rPr>
        <w:drawing>
          <wp:inline distT="0" distB="0" distL="0" distR="0" wp14:anchorId="41696188" wp14:editId="02CF8630">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75800" w:rsidRPr="002979FC">
        <w:rPr>
          <w:rFonts w:ascii="Book Antiqua" w:hAnsi="Book Antiqua"/>
          <w:sz w:val="24"/>
          <w:szCs w:val="24"/>
        </w:rPr>
        <w:t xml:space="preserve">Figure 2. Solvency Ratio </w:t>
      </w:r>
      <w:r w:rsidR="00CE66B2" w:rsidRPr="002979FC">
        <w:rPr>
          <w:rFonts w:ascii="Book Antiqua" w:hAnsi="Book Antiqua"/>
          <w:sz w:val="24"/>
          <w:szCs w:val="24"/>
        </w:rPr>
        <w:t xml:space="preserve">of PT Sona </w:t>
      </w:r>
      <w:proofErr w:type="spellStart"/>
      <w:r w:rsidR="00CE66B2" w:rsidRPr="002979FC">
        <w:rPr>
          <w:rFonts w:ascii="Book Antiqua" w:hAnsi="Book Antiqua"/>
          <w:sz w:val="24"/>
          <w:szCs w:val="24"/>
        </w:rPr>
        <w:t>Topas</w:t>
      </w:r>
      <w:proofErr w:type="spellEnd"/>
      <w:r w:rsidR="00CE66B2" w:rsidRPr="002979FC">
        <w:rPr>
          <w:rFonts w:ascii="Book Antiqua" w:hAnsi="Book Antiqua"/>
          <w:sz w:val="24"/>
          <w:szCs w:val="24"/>
        </w:rPr>
        <w:t xml:space="preserve"> To</w:t>
      </w:r>
      <w:r w:rsidR="00B71487">
        <w:rPr>
          <w:rFonts w:ascii="Book Antiqua" w:hAnsi="Book Antiqua"/>
          <w:sz w:val="24"/>
          <w:szCs w:val="24"/>
        </w:rPr>
        <w:t xml:space="preserve">urism Industry </w:t>
      </w:r>
      <w:proofErr w:type="spellStart"/>
      <w:r w:rsidR="00B71487">
        <w:rPr>
          <w:rFonts w:ascii="Book Antiqua" w:hAnsi="Book Antiqua"/>
          <w:sz w:val="24"/>
          <w:szCs w:val="24"/>
        </w:rPr>
        <w:t>Tbk</w:t>
      </w:r>
      <w:proofErr w:type="spellEnd"/>
      <w:r w:rsidR="00B71487">
        <w:rPr>
          <w:rFonts w:ascii="Book Antiqua" w:hAnsi="Book Antiqua"/>
          <w:sz w:val="24"/>
          <w:szCs w:val="24"/>
        </w:rPr>
        <w:t xml:space="preserve"> (2015-2024) </w:t>
      </w:r>
    </w:p>
    <w:p w14:paraId="035B9082" w14:textId="77777777" w:rsidR="005C253C" w:rsidRPr="002979FC" w:rsidRDefault="005C253C" w:rsidP="005C253C">
      <w:pPr>
        <w:spacing w:after="0" w:line="240" w:lineRule="auto"/>
        <w:jc w:val="both"/>
        <w:rPr>
          <w:rFonts w:ascii="Book Antiqua" w:hAnsi="Book Antiqua"/>
          <w:sz w:val="24"/>
          <w:szCs w:val="24"/>
        </w:rPr>
      </w:pPr>
      <w:r w:rsidRPr="002979FC">
        <w:rPr>
          <w:rFonts w:ascii="Book Antiqua" w:hAnsi="Book Antiqua"/>
          <w:sz w:val="24"/>
          <w:szCs w:val="24"/>
        </w:rPr>
        <w:tab/>
        <w:t xml:space="preserve">Based on Table 2 and Figure 2, the solvency ratios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during the period of 2015 to 2024 show considerable fluctuations. These ratios illustrate the company’s ability to meet its long-term obligations using its own equity and total assets. In general, the company’s capital structure was still dominated by debt; however, in recent years there has been an indication of improvement, as </w:t>
      </w:r>
      <w:r w:rsidRPr="002979FC">
        <w:rPr>
          <w:rFonts w:ascii="Book Antiqua" w:hAnsi="Book Antiqua"/>
          <w:sz w:val="24"/>
          <w:szCs w:val="24"/>
        </w:rPr>
        <w:lastRenderedPageBreak/>
        <w:t>reflected by the gradual reduction in debt dependency and the increase in the proportion of equity.</w:t>
      </w:r>
    </w:p>
    <w:p w14:paraId="6AC36D51" w14:textId="77777777" w:rsidR="005C253C" w:rsidRPr="002979FC" w:rsidRDefault="005C253C" w:rsidP="005C253C">
      <w:pPr>
        <w:spacing w:after="0" w:line="240" w:lineRule="auto"/>
        <w:jc w:val="both"/>
        <w:rPr>
          <w:rFonts w:ascii="Book Antiqua" w:hAnsi="Book Antiqua"/>
          <w:sz w:val="24"/>
          <w:szCs w:val="24"/>
        </w:rPr>
      </w:pPr>
      <w:r w:rsidRPr="002979FC">
        <w:rPr>
          <w:rFonts w:ascii="Book Antiqua" w:hAnsi="Book Antiqua"/>
          <w:sz w:val="24"/>
          <w:szCs w:val="24"/>
        </w:rPr>
        <w:tab/>
        <w:t>The Debt to Equity Ratio (DER) fluctuated throughout the ten-year period, reaching its highest value in 2018 at 196.98 percent and its lowest in 2021 at 41.13 percent. The average DER of 119.40 percent indicates that the company remained moderately dependent on external funding sources. Nevertheless, the declining DER after 2018 suggests an improvement in the company’s capital management strategy and a gradual strengthening of its financial structure.</w:t>
      </w:r>
    </w:p>
    <w:p w14:paraId="082EA614" w14:textId="39E72B47" w:rsidR="00B71487" w:rsidRDefault="005C253C" w:rsidP="005C253C">
      <w:pPr>
        <w:spacing w:after="0" w:line="240" w:lineRule="auto"/>
        <w:jc w:val="both"/>
        <w:rPr>
          <w:rFonts w:ascii="Book Antiqua" w:hAnsi="Book Antiqua"/>
          <w:sz w:val="24"/>
          <w:szCs w:val="24"/>
        </w:rPr>
      </w:pPr>
      <w:r w:rsidRPr="002979FC">
        <w:rPr>
          <w:rFonts w:ascii="Book Antiqua" w:hAnsi="Book Antiqua"/>
          <w:sz w:val="24"/>
          <w:szCs w:val="24"/>
        </w:rPr>
        <w:tab/>
        <w:t>The Debt Ratio recorded an average of 25.75 percent, meaning that approximately one-fourth of the company’s total assets were financed through debt. The highest level occurred in 2017 at 36.59 percent, while the lowest was in 2021 at 12.44 percent. This condition reflects the company’s growing efficiency in utilizing debt to support operational activities, especially after 2018. Meanwhile, the Equity Ratio remained relatively stable, averaging 23.48 percent, with the highest value recorded in 2021 (30.23 percent) and the lowest in 2018 (17.88 percent). The improvement in equity ratio indicates that the company strengthened its own capital position, reducing financial risk exposure.</w:t>
      </w:r>
    </w:p>
    <w:p w14:paraId="00A5FE0C" w14:textId="77777777" w:rsidR="005C253C" w:rsidRPr="002979FC" w:rsidRDefault="00B71487" w:rsidP="005C253C">
      <w:pPr>
        <w:spacing w:after="0" w:line="240" w:lineRule="auto"/>
        <w:jc w:val="both"/>
        <w:rPr>
          <w:rFonts w:ascii="Book Antiqua" w:hAnsi="Book Antiqua"/>
          <w:sz w:val="24"/>
          <w:szCs w:val="24"/>
        </w:rPr>
      </w:pPr>
      <w:r>
        <w:rPr>
          <w:rFonts w:ascii="Book Antiqua" w:hAnsi="Book Antiqua"/>
          <w:sz w:val="24"/>
          <w:szCs w:val="24"/>
        </w:rPr>
        <w:tab/>
      </w:r>
      <w:r w:rsidR="005C253C" w:rsidRPr="002979FC">
        <w:rPr>
          <w:rFonts w:ascii="Book Antiqua" w:hAnsi="Book Antiqua"/>
          <w:sz w:val="24"/>
          <w:szCs w:val="24"/>
        </w:rPr>
        <w:t>The Times Interest Earned Ratio (TIER) showed extreme fluctuations during the observed period. The highest value was recorded in 2015 at 2165.34 percent, while the lowest occurred in 2020 at -2310.12 percent. The average ratio of -240.33 percent indicates that the company faced difficulties in covering interest expenses during certain years, particularly during the COVID-19 pandemic in 2020–2021, which severely impacted the tourism sector. However, the recovery observed after 2022 demonstrates an improvement in financial performance and an increased ability to manage long-term obligations.</w:t>
      </w:r>
    </w:p>
    <w:p w14:paraId="289283FE" w14:textId="74740CF8" w:rsidR="00B71487" w:rsidRDefault="005C253C" w:rsidP="0041547B">
      <w:pPr>
        <w:spacing w:after="0" w:line="240" w:lineRule="auto"/>
        <w:jc w:val="both"/>
        <w:rPr>
          <w:rFonts w:ascii="Book Antiqua" w:hAnsi="Book Antiqua"/>
          <w:sz w:val="24"/>
          <w:szCs w:val="24"/>
        </w:rPr>
      </w:pPr>
      <w:r w:rsidRPr="002979FC">
        <w:rPr>
          <w:rFonts w:ascii="Book Antiqua" w:hAnsi="Book Antiqua"/>
          <w:sz w:val="24"/>
          <w:szCs w:val="24"/>
        </w:rPr>
        <w:tab/>
        <w:t xml:space="preserve">Overall, the solvency ratios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reflect significant variations influenced by macroeconomic conditions and the dynamics of the tourism industry. Although the company experienced financial pressures during the pandemic, the declining debt ratios and increasing equity in recent years indicate a positive trend toward financial stability and improved solvency for the future.</w:t>
      </w:r>
    </w:p>
    <w:p w14:paraId="17DE73A1" w14:textId="77777777" w:rsidR="00AD2559" w:rsidRPr="004F73F5" w:rsidRDefault="00AD2559" w:rsidP="00B71487">
      <w:pPr>
        <w:spacing w:after="0" w:line="240" w:lineRule="auto"/>
        <w:jc w:val="center"/>
        <w:rPr>
          <w:rFonts w:ascii="Book Antiqua" w:hAnsi="Book Antiqua"/>
          <w:sz w:val="24"/>
          <w:szCs w:val="24"/>
        </w:rPr>
      </w:pPr>
      <w:r w:rsidRPr="004F73F5">
        <w:rPr>
          <w:rFonts w:ascii="Book Antiqua" w:hAnsi="Book Antiqua"/>
          <w:sz w:val="24"/>
          <w:szCs w:val="24"/>
        </w:rPr>
        <w:t>Table 3</w:t>
      </w:r>
      <w:r w:rsidR="00F64039" w:rsidRPr="004F73F5">
        <w:rPr>
          <w:rFonts w:ascii="Book Antiqua" w:hAnsi="Book Antiqua"/>
          <w:sz w:val="24"/>
          <w:szCs w:val="24"/>
        </w:rPr>
        <w:t xml:space="preserve">. Activity </w:t>
      </w:r>
      <w:r w:rsidR="000D5AE2" w:rsidRPr="004F73F5">
        <w:rPr>
          <w:rFonts w:ascii="Book Antiqua" w:hAnsi="Book Antiqua"/>
          <w:sz w:val="24"/>
          <w:szCs w:val="24"/>
        </w:rPr>
        <w:t xml:space="preserve">Ratio </w:t>
      </w:r>
      <w:r w:rsidR="00F64039" w:rsidRPr="004F73F5">
        <w:rPr>
          <w:rFonts w:ascii="Book Antiqua" w:hAnsi="Book Antiqua"/>
          <w:sz w:val="24"/>
          <w:szCs w:val="24"/>
        </w:rPr>
        <w:t>of PT Son</w:t>
      </w:r>
      <w:r w:rsidRPr="004F73F5">
        <w:rPr>
          <w:rFonts w:ascii="Book Antiqua" w:hAnsi="Book Antiqua"/>
          <w:sz w:val="24"/>
          <w:szCs w:val="24"/>
        </w:rPr>
        <w:t xml:space="preserve">a </w:t>
      </w:r>
      <w:proofErr w:type="spellStart"/>
      <w:r w:rsidRPr="004F73F5">
        <w:rPr>
          <w:rFonts w:ascii="Book Antiqua" w:hAnsi="Book Antiqua"/>
          <w:sz w:val="24"/>
          <w:szCs w:val="24"/>
        </w:rPr>
        <w:t>Topas</w:t>
      </w:r>
      <w:proofErr w:type="spellEnd"/>
      <w:r w:rsidRPr="004F73F5">
        <w:rPr>
          <w:rFonts w:ascii="Book Antiqua" w:hAnsi="Book Antiqua"/>
          <w:sz w:val="24"/>
          <w:szCs w:val="24"/>
        </w:rPr>
        <w:t xml:space="preserve"> Tourism Industry </w:t>
      </w:r>
      <w:proofErr w:type="spellStart"/>
      <w:r w:rsidRPr="004F73F5">
        <w:rPr>
          <w:rFonts w:ascii="Book Antiqua" w:hAnsi="Book Antiqua"/>
          <w:sz w:val="24"/>
          <w:szCs w:val="24"/>
        </w:rPr>
        <w:t>Tbk</w:t>
      </w:r>
      <w:proofErr w:type="spellEnd"/>
      <w:r w:rsidRPr="004F73F5">
        <w:rPr>
          <w:rFonts w:ascii="Book Antiqua" w:hAnsi="Book Antiqua"/>
          <w:sz w:val="24"/>
          <w:szCs w:val="24"/>
        </w:rPr>
        <w:t xml:space="preserve"> (2015-2024)</w:t>
      </w:r>
    </w:p>
    <w:tbl>
      <w:tblPr>
        <w:tblStyle w:val="TableGrid"/>
        <w:tblW w:w="0" w:type="auto"/>
        <w:tblLayout w:type="fixed"/>
        <w:tblLook w:val="04A0" w:firstRow="1" w:lastRow="0" w:firstColumn="1" w:lastColumn="0" w:noHBand="0" w:noVBand="1"/>
      </w:tblPr>
      <w:tblGrid>
        <w:gridCol w:w="548"/>
        <w:gridCol w:w="1122"/>
        <w:gridCol w:w="1194"/>
        <w:gridCol w:w="1797"/>
        <w:gridCol w:w="1704"/>
        <w:gridCol w:w="1473"/>
        <w:gridCol w:w="1405"/>
      </w:tblGrid>
      <w:tr w:rsidR="000D5AE2" w:rsidRPr="0041547B" w14:paraId="72ADDC0D" w14:textId="77777777" w:rsidTr="0041547B">
        <w:trPr>
          <w:trHeight w:val="1086"/>
        </w:trPr>
        <w:tc>
          <w:tcPr>
            <w:tcW w:w="548" w:type="dxa"/>
            <w:vAlign w:val="center"/>
          </w:tcPr>
          <w:p w14:paraId="4C069E7C"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No</w:t>
            </w:r>
          </w:p>
        </w:tc>
        <w:tc>
          <w:tcPr>
            <w:tcW w:w="1122" w:type="dxa"/>
            <w:vAlign w:val="center"/>
          </w:tcPr>
          <w:p w14:paraId="34FAE153"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Year</w:t>
            </w:r>
          </w:p>
        </w:tc>
        <w:tc>
          <w:tcPr>
            <w:tcW w:w="1194" w:type="dxa"/>
            <w:vAlign w:val="center"/>
          </w:tcPr>
          <w:p w14:paraId="17A304AC"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Cash Turn Over (%)</w:t>
            </w:r>
          </w:p>
        </w:tc>
        <w:tc>
          <w:tcPr>
            <w:tcW w:w="1797" w:type="dxa"/>
            <w:vAlign w:val="center"/>
          </w:tcPr>
          <w:p w14:paraId="63F6F3F4"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Receivable Turn Over (%)</w:t>
            </w:r>
          </w:p>
        </w:tc>
        <w:tc>
          <w:tcPr>
            <w:tcW w:w="1704" w:type="dxa"/>
            <w:vAlign w:val="center"/>
          </w:tcPr>
          <w:p w14:paraId="13F9BDB2"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Inventory Turn Over (%)</w:t>
            </w:r>
          </w:p>
        </w:tc>
        <w:tc>
          <w:tcPr>
            <w:tcW w:w="1473" w:type="dxa"/>
            <w:vAlign w:val="center"/>
          </w:tcPr>
          <w:p w14:paraId="6EEF1846"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Fixed Asset Turn Over (%)</w:t>
            </w:r>
          </w:p>
        </w:tc>
        <w:tc>
          <w:tcPr>
            <w:tcW w:w="1405" w:type="dxa"/>
            <w:vAlign w:val="center"/>
          </w:tcPr>
          <w:p w14:paraId="658321A0"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Total Asset Turn Over (%)</w:t>
            </w:r>
          </w:p>
        </w:tc>
      </w:tr>
      <w:tr w:rsidR="000D5AE2" w:rsidRPr="0041547B" w14:paraId="5068F227" w14:textId="77777777" w:rsidTr="000D5AE2">
        <w:trPr>
          <w:trHeight w:val="600"/>
        </w:trPr>
        <w:tc>
          <w:tcPr>
            <w:tcW w:w="548" w:type="dxa"/>
            <w:vAlign w:val="center"/>
          </w:tcPr>
          <w:p w14:paraId="12DFD244"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w:t>
            </w:r>
          </w:p>
        </w:tc>
        <w:tc>
          <w:tcPr>
            <w:tcW w:w="1122" w:type="dxa"/>
            <w:vAlign w:val="center"/>
          </w:tcPr>
          <w:p w14:paraId="2F9231C7"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2015</w:t>
            </w:r>
          </w:p>
        </w:tc>
        <w:tc>
          <w:tcPr>
            <w:tcW w:w="1194" w:type="dxa"/>
            <w:vAlign w:val="center"/>
          </w:tcPr>
          <w:p w14:paraId="168C662E"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66,35</w:t>
            </w:r>
          </w:p>
        </w:tc>
        <w:tc>
          <w:tcPr>
            <w:tcW w:w="1797" w:type="dxa"/>
            <w:vAlign w:val="center"/>
          </w:tcPr>
          <w:p w14:paraId="23389FBF"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2494,73</w:t>
            </w:r>
          </w:p>
        </w:tc>
        <w:tc>
          <w:tcPr>
            <w:tcW w:w="1704" w:type="dxa"/>
            <w:vAlign w:val="center"/>
          </w:tcPr>
          <w:p w14:paraId="4E551C3B"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94,15</w:t>
            </w:r>
          </w:p>
        </w:tc>
        <w:tc>
          <w:tcPr>
            <w:tcW w:w="1473" w:type="dxa"/>
            <w:vAlign w:val="center"/>
          </w:tcPr>
          <w:p w14:paraId="3228E5F7"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71,31</w:t>
            </w:r>
          </w:p>
        </w:tc>
        <w:tc>
          <w:tcPr>
            <w:tcW w:w="1405" w:type="dxa"/>
            <w:vAlign w:val="center"/>
          </w:tcPr>
          <w:p w14:paraId="660B0919"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23,06</w:t>
            </w:r>
          </w:p>
        </w:tc>
      </w:tr>
      <w:tr w:rsidR="000D5AE2" w:rsidRPr="0041547B" w14:paraId="6846B321" w14:textId="77777777" w:rsidTr="000D5AE2">
        <w:trPr>
          <w:trHeight w:val="585"/>
        </w:trPr>
        <w:tc>
          <w:tcPr>
            <w:tcW w:w="548" w:type="dxa"/>
            <w:vAlign w:val="center"/>
          </w:tcPr>
          <w:p w14:paraId="651E957C"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w:t>
            </w:r>
          </w:p>
        </w:tc>
        <w:tc>
          <w:tcPr>
            <w:tcW w:w="1122" w:type="dxa"/>
            <w:vAlign w:val="center"/>
          </w:tcPr>
          <w:p w14:paraId="6159B5A6"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2016</w:t>
            </w:r>
          </w:p>
        </w:tc>
        <w:tc>
          <w:tcPr>
            <w:tcW w:w="1194" w:type="dxa"/>
            <w:vAlign w:val="center"/>
          </w:tcPr>
          <w:p w14:paraId="499A87F5"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88,12</w:t>
            </w:r>
          </w:p>
        </w:tc>
        <w:tc>
          <w:tcPr>
            <w:tcW w:w="1797" w:type="dxa"/>
            <w:vAlign w:val="center"/>
          </w:tcPr>
          <w:p w14:paraId="485E9600"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2314,51</w:t>
            </w:r>
          </w:p>
        </w:tc>
        <w:tc>
          <w:tcPr>
            <w:tcW w:w="1704" w:type="dxa"/>
            <w:vAlign w:val="center"/>
          </w:tcPr>
          <w:p w14:paraId="6FAD493A"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116,36</w:t>
            </w:r>
          </w:p>
        </w:tc>
        <w:tc>
          <w:tcPr>
            <w:tcW w:w="1473" w:type="dxa"/>
            <w:vAlign w:val="center"/>
          </w:tcPr>
          <w:p w14:paraId="65DF1DFE"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100,22</w:t>
            </w:r>
          </w:p>
        </w:tc>
        <w:tc>
          <w:tcPr>
            <w:tcW w:w="1405" w:type="dxa"/>
            <w:vAlign w:val="center"/>
          </w:tcPr>
          <w:p w14:paraId="3B8E9714"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29,63</w:t>
            </w:r>
          </w:p>
        </w:tc>
      </w:tr>
      <w:tr w:rsidR="000D5AE2" w:rsidRPr="0041547B" w14:paraId="3E6D6FCB" w14:textId="77777777" w:rsidTr="000D5AE2">
        <w:trPr>
          <w:trHeight w:val="600"/>
        </w:trPr>
        <w:tc>
          <w:tcPr>
            <w:tcW w:w="548" w:type="dxa"/>
            <w:vAlign w:val="center"/>
          </w:tcPr>
          <w:p w14:paraId="7B52E329"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3</w:t>
            </w:r>
          </w:p>
        </w:tc>
        <w:tc>
          <w:tcPr>
            <w:tcW w:w="1122" w:type="dxa"/>
            <w:vAlign w:val="center"/>
          </w:tcPr>
          <w:p w14:paraId="35E1847F"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2017</w:t>
            </w:r>
          </w:p>
        </w:tc>
        <w:tc>
          <w:tcPr>
            <w:tcW w:w="1194" w:type="dxa"/>
            <w:vAlign w:val="center"/>
          </w:tcPr>
          <w:p w14:paraId="27A4C57E"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81,58</w:t>
            </w:r>
          </w:p>
        </w:tc>
        <w:tc>
          <w:tcPr>
            <w:tcW w:w="1797" w:type="dxa"/>
            <w:vAlign w:val="center"/>
          </w:tcPr>
          <w:p w14:paraId="773945F1"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3135,85</w:t>
            </w:r>
          </w:p>
        </w:tc>
        <w:tc>
          <w:tcPr>
            <w:tcW w:w="1704" w:type="dxa"/>
            <w:vAlign w:val="center"/>
          </w:tcPr>
          <w:p w14:paraId="6B3D2037"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85,54</w:t>
            </w:r>
          </w:p>
        </w:tc>
        <w:tc>
          <w:tcPr>
            <w:tcW w:w="1473" w:type="dxa"/>
            <w:vAlign w:val="center"/>
          </w:tcPr>
          <w:p w14:paraId="2309CCF4"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100,72</w:t>
            </w:r>
          </w:p>
        </w:tc>
        <w:tc>
          <w:tcPr>
            <w:tcW w:w="1405" w:type="dxa"/>
            <w:vAlign w:val="center"/>
          </w:tcPr>
          <w:p w14:paraId="4A086091"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27,62</w:t>
            </w:r>
          </w:p>
        </w:tc>
      </w:tr>
      <w:tr w:rsidR="000D5AE2" w:rsidRPr="0041547B" w14:paraId="0A3D9DEC" w14:textId="77777777" w:rsidTr="000D5AE2">
        <w:trPr>
          <w:trHeight w:val="585"/>
        </w:trPr>
        <w:tc>
          <w:tcPr>
            <w:tcW w:w="548" w:type="dxa"/>
            <w:vAlign w:val="center"/>
          </w:tcPr>
          <w:p w14:paraId="0766A5C7"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4</w:t>
            </w:r>
          </w:p>
        </w:tc>
        <w:tc>
          <w:tcPr>
            <w:tcW w:w="1122" w:type="dxa"/>
            <w:vAlign w:val="center"/>
          </w:tcPr>
          <w:p w14:paraId="07F26D68"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2018</w:t>
            </w:r>
          </w:p>
        </w:tc>
        <w:tc>
          <w:tcPr>
            <w:tcW w:w="1194" w:type="dxa"/>
            <w:vAlign w:val="center"/>
          </w:tcPr>
          <w:p w14:paraId="7A5BE567"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84,97</w:t>
            </w:r>
          </w:p>
        </w:tc>
        <w:tc>
          <w:tcPr>
            <w:tcW w:w="1797" w:type="dxa"/>
            <w:vAlign w:val="center"/>
          </w:tcPr>
          <w:p w14:paraId="327C8A38"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2708,54</w:t>
            </w:r>
          </w:p>
        </w:tc>
        <w:tc>
          <w:tcPr>
            <w:tcW w:w="1704" w:type="dxa"/>
            <w:vAlign w:val="center"/>
          </w:tcPr>
          <w:p w14:paraId="6ECF4C19"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89,82</w:t>
            </w:r>
          </w:p>
        </w:tc>
        <w:tc>
          <w:tcPr>
            <w:tcW w:w="1473" w:type="dxa"/>
            <w:vAlign w:val="center"/>
          </w:tcPr>
          <w:p w14:paraId="21A75F68"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158,87</w:t>
            </w:r>
          </w:p>
        </w:tc>
        <w:tc>
          <w:tcPr>
            <w:tcW w:w="1405" w:type="dxa"/>
            <w:vAlign w:val="center"/>
          </w:tcPr>
          <w:p w14:paraId="2D03EA3B"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32,06</w:t>
            </w:r>
          </w:p>
        </w:tc>
      </w:tr>
      <w:tr w:rsidR="000D5AE2" w:rsidRPr="0041547B" w14:paraId="1C05BF12" w14:textId="77777777" w:rsidTr="000D5AE2">
        <w:trPr>
          <w:trHeight w:val="585"/>
        </w:trPr>
        <w:tc>
          <w:tcPr>
            <w:tcW w:w="548" w:type="dxa"/>
            <w:vAlign w:val="center"/>
          </w:tcPr>
          <w:p w14:paraId="78E01AF5"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lastRenderedPageBreak/>
              <w:t>5</w:t>
            </w:r>
          </w:p>
        </w:tc>
        <w:tc>
          <w:tcPr>
            <w:tcW w:w="1122" w:type="dxa"/>
            <w:vAlign w:val="center"/>
          </w:tcPr>
          <w:p w14:paraId="487719FF"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2019</w:t>
            </w:r>
          </w:p>
        </w:tc>
        <w:tc>
          <w:tcPr>
            <w:tcW w:w="1194" w:type="dxa"/>
            <w:vAlign w:val="center"/>
          </w:tcPr>
          <w:p w14:paraId="1C2D222E"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88,21</w:t>
            </w:r>
          </w:p>
        </w:tc>
        <w:tc>
          <w:tcPr>
            <w:tcW w:w="1797" w:type="dxa"/>
            <w:vAlign w:val="center"/>
          </w:tcPr>
          <w:p w14:paraId="0A8510B0"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4905,73</w:t>
            </w:r>
          </w:p>
        </w:tc>
        <w:tc>
          <w:tcPr>
            <w:tcW w:w="1704" w:type="dxa"/>
            <w:vAlign w:val="center"/>
          </w:tcPr>
          <w:p w14:paraId="2DDDD87A"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131,84</w:t>
            </w:r>
          </w:p>
        </w:tc>
        <w:tc>
          <w:tcPr>
            <w:tcW w:w="1473" w:type="dxa"/>
            <w:vAlign w:val="center"/>
          </w:tcPr>
          <w:p w14:paraId="32C67E10"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206,93</w:t>
            </w:r>
          </w:p>
        </w:tc>
        <w:tc>
          <w:tcPr>
            <w:tcW w:w="1405" w:type="dxa"/>
            <w:vAlign w:val="center"/>
          </w:tcPr>
          <w:p w14:paraId="03DEF911"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38,68</w:t>
            </w:r>
          </w:p>
        </w:tc>
      </w:tr>
      <w:tr w:rsidR="000D5AE2" w:rsidRPr="0041547B" w14:paraId="02BE9A60" w14:textId="77777777" w:rsidTr="000D5AE2">
        <w:trPr>
          <w:trHeight w:val="600"/>
        </w:trPr>
        <w:tc>
          <w:tcPr>
            <w:tcW w:w="548" w:type="dxa"/>
            <w:vAlign w:val="center"/>
          </w:tcPr>
          <w:p w14:paraId="237FCA5E"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6</w:t>
            </w:r>
          </w:p>
        </w:tc>
        <w:tc>
          <w:tcPr>
            <w:tcW w:w="1122" w:type="dxa"/>
            <w:vAlign w:val="center"/>
          </w:tcPr>
          <w:p w14:paraId="78832DCB"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2020</w:t>
            </w:r>
          </w:p>
        </w:tc>
        <w:tc>
          <w:tcPr>
            <w:tcW w:w="1194" w:type="dxa"/>
            <w:vAlign w:val="center"/>
          </w:tcPr>
          <w:p w14:paraId="5B80C70C"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13,51</w:t>
            </w:r>
          </w:p>
        </w:tc>
        <w:tc>
          <w:tcPr>
            <w:tcW w:w="1797" w:type="dxa"/>
            <w:vAlign w:val="center"/>
          </w:tcPr>
          <w:p w14:paraId="7660EC66"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120,10</w:t>
            </w:r>
          </w:p>
        </w:tc>
        <w:tc>
          <w:tcPr>
            <w:tcW w:w="1704" w:type="dxa"/>
            <w:vAlign w:val="center"/>
          </w:tcPr>
          <w:p w14:paraId="7F5A0B79"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44,17</w:t>
            </w:r>
          </w:p>
        </w:tc>
        <w:tc>
          <w:tcPr>
            <w:tcW w:w="1473" w:type="dxa"/>
            <w:vAlign w:val="center"/>
          </w:tcPr>
          <w:p w14:paraId="3C771C11"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55,12</w:t>
            </w:r>
          </w:p>
        </w:tc>
        <w:tc>
          <w:tcPr>
            <w:tcW w:w="1405" w:type="dxa"/>
            <w:vAlign w:val="center"/>
          </w:tcPr>
          <w:p w14:paraId="407C7C70"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7,85</w:t>
            </w:r>
          </w:p>
        </w:tc>
      </w:tr>
      <w:tr w:rsidR="000D5AE2" w:rsidRPr="0041547B" w14:paraId="4A2C4AFE" w14:textId="77777777" w:rsidTr="000D5AE2">
        <w:trPr>
          <w:trHeight w:val="585"/>
        </w:trPr>
        <w:tc>
          <w:tcPr>
            <w:tcW w:w="548" w:type="dxa"/>
            <w:vAlign w:val="center"/>
          </w:tcPr>
          <w:p w14:paraId="65350580"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7</w:t>
            </w:r>
          </w:p>
        </w:tc>
        <w:tc>
          <w:tcPr>
            <w:tcW w:w="1122" w:type="dxa"/>
            <w:vAlign w:val="center"/>
          </w:tcPr>
          <w:p w14:paraId="3E20FB49"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2021</w:t>
            </w:r>
          </w:p>
        </w:tc>
        <w:tc>
          <w:tcPr>
            <w:tcW w:w="1194" w:type="dxa"/>
            <w:vAlign w:val="center"/>
          </w:tcPr>
          <w:p w14:paraId="1254ECB3"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2,63</w:t>
            </w:r>
          </w:p>
        </w:tc>
        <w:tc>
          <w:tcPr>
            <w:tcW w:w="1797" w:type="dxa"/>
            <w:vAlign w:val="center"/>
          </w:tcPr>
          <w:p w14:paraId="5F0945F3"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17,49</w:t>
            </w:r>
          </w:p>
        </w:tc>
        <w:tc>
          <w:tcPr>
            <w:tcW w:w="1704" w:type="dxa"/>
            <w:vAlign w:val="center"/>
          </w:tcPr>
          <w:p w14:paraId="01CD5A97"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10,58</w:t>
            </w:r>
          </w:p>
        </w:tc>
        <w:tc>
          <w:tcPr>
            <w:tcW w:w="1473" w:type="dxa"/>
            <w:vAlign w:val="center"/>
          </w:tcPr>
          <w:p w14:paraId="3E190821"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9,67</w:t>
            </w:r>
          </w:p>
        </w:tc>
        <w:tc>
          <w:tcPr>
            <w:tcW w:w="1405" w:type="dxa"/>
            <w:vAlign w:val="center"/>
          </w:tcPr>
          <w:p w14:paraId="6159B973"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1,55</w:t>
            </w:r>
          </w:p>
        </w:tc>
      </w:tr>
      <w:tr w:rsidR="000D5AE2" w:rsidRPr="0041547B" w14:paraId="7F997EDA" w14:textId="77777777" w:rsidTr="000D5AE2">
        <w:trPr>
          <w:trHeight w:val="600"/>
        </w:trPr>
        <w:tc>
          <w:tcPr>
            <w:tcW w:w="548" w:type="dxa"/>
            <w:vAlign w:val="center"/>
          </w:tcPr>
          <w:p w14:paraId="2045C06D"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8</w:t>
            </w:r>
          </w:p>
        </w:tc>
        <w:tc>
          <w:tcPr>
            <w:tcW w:w="1122" w:type="dxa"/>
            <w:vAlign w:val="center"/>
          </w:tcPr>
          <w:p w14:paraId="2EF3DA62"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2022</w:t>
            </w:r>
          </w:p>
        </w:tc>
        <w:tc>
          <w:tcPr>
            <w:tcW w:w="1194" w:type="dxa"/>
            <w:vAlign w:val="center"/>
          </w:tcPr>
          <w:p w14:paraId="5C0DB1B3"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9,81</w:t>
            </w:r>
          </w:p>
        </w:tc>
        <w:tc>
          <w:tcPr>
            <w:tcW w:w="1797" w:type="dxa"/>
            <w:vAlign w:val="center"/>
          </w:tcPr>
          <w:p w14:paraId="1467008A"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119,74</w:t>
            </w:r>
          </w:p>
        </w:tc>
        <w:tc>
          <w:tcPr>
            <w:tcW w:w="1704" w:type="dxa"/>
            <w:vAlign w:val="center"/>
          </w:tcPr>
          <w:p w14:paraId="4E8C5FCF"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41,06</w:t>
            </w:r>
          </w:p>
        </w:tc>
        <w:tc>
          <w:tcPr>
            <w:tcW w:w="1473" w:type="dxa"/>
            <w:vAlign w:val="center"/>
          </w:tcPr>
          <w:p w14:paraId="7A447272"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15,31</w:t>
            </w:r>
          </w:p>
        </w:tc>
        <w:tc>
          <w:tcPr>
            <w:tcW w:w="1405" w:type="dxa"/>
            <w:vAlign w:val="center"/>
          </w:tcPr>
          <w:p w14:paraId="2EE76EFC"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4,99</w:t>
            </w:r>
          </w:p>
        </w:tc>
      </w:tr>
      <w:tr w:rsidR="000D5AE2" w:rsidRPr="0041547B" w14:paraId="68F90914" w14:textId="77777777" w:rsidTr="000D5AE2">
        <w:trPr>
          <w:trHeight w:val="585"/>
        </w:trPr>
        <w:tc>
          <w:tcPr>
            <w:tcW w:w="548" w:type="dxa"/>
            <w:vAlign w:val="center"/>
          </w:tcPr>
          <w:p w14:paraId="3EA47213"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9</w:t>
            </w:r>
          </w:p>
        </w:tc>
        <w:tc>
          <w:tcPr>
            <w:tcW w:w="1122" w:type="dxa"/>
            <w:vAlign w:val="center"/>
          </w:tcPr>
          <w:p w14:paraId="45B90690"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2023</w:t>
            </w:r>
          </w:p>
        </w:tc>
        <w:tc>
          <w:tcPr>
            <w:tcW w:w="1194" w:type="dxa"/>
            <w:vAlign w:val="center"/>
          </w:tcPr>
          <w:p w14:paraId="663D9CF9"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27,25</w:t>
            </w:r>
          </w:p>
        </w:tc>
        <w:tc>
          <w:tcPr>
            <w:tcW w:w="1797" w:type="dxa"/>
            <w:vAlign w:val="center"/>
          </w:tcPr>
          <w:p w14:paraId="64BBF46A"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2593,51</w:t>
            </w:r>
          </w:p>
        </w:tc>
        <w:tc>
          <w:tcPr>
            <w:tcW w:w="1704" w:type="dxa"/>
            <w:vAlign w:val="center"/>
          </w:tcPr>
          <w:p w14:paraId="199C7F4B"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93,95</w:t>
            </w:r>
          </w:p>
        </w:tc>
        <w:tc>
          <w:tcPr>
            <w:tcW w:w="1473" w:type="dxa"/>
            <w:vAlign w:val="center"/>
          </w:tcPr>
          <w:p w14:paraId="23CC3298"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49,16</w:t>
            </w:r>
          </w:p>
        </w:tc>
        <w:tc>
          <w:tcPr>
            <w:tcW w:w="1405" w:type="dxa"/>
            <w:vAlign w:val="center"/>
          </w:tcPr>
          <w:p w14:paraId="6BBDBC98"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14,62</w:t>
            </w:r>
          </w:p>
        </w:tc>
      </w:tr>
      <w:tr w:rsidR="000D5AE2" w:rsidRPr="0041547B" w14:paraId="189AE82C" w14:textId="77777777" w:rsidTr="000D5AE2">
        <w:trPr>
          <w:trHeight w:val="600"/>
        </w:trPr>
        <w:tc>
          <w:tcPr>
            <w:tcW w:w="548" w:type="dxa"/>
            <w:vAlign w:val="center"/>
          </w:tcPr>
          <w:p w14:paraId="34DE39D4"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10</w:t>
            </w:r>
          </w:p>
        </w:tc>
        <w:tc>
          <w:tcPr>
            <w:tcW w:w="1122" w:type="dxa"/>
            <w:vAlign w:val="center"/>
          </w:tcPr>
          <w:p w14:paraId="4C5D53A1"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2024</w:t>
            </w:r>
          </w:p>
        </w:tc>
        <w:tc>
          <w:tcPr>
            <w:tcW w:w="1194" w:type="dxa"/>
            <w:vAlign w:val="center"/>
          </w:tcPr>
          <w:p w14:paraId="335E2A9F"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28,03</w:t>
            </w:r>
          </w:p>
        </w:tc>
        <w:tc>
          <w:tcPr>
            <w:tcW w:w="1797" w:type="dxa"/>
            <w:vAlign w:val="center"/>
          </w:tcPr>
          <w:p w14:paraId="3E95D527"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3353,59</w:t>
            </w:r>
          </w:p>
        </w:tc>
        <w:tc>
          <w:tcPr>
            <w:tcW w:w="1704" w:type="dxa"/>
            <w:vAlign w:val="center"/>
          </w:tcPr>
          <w:p w14:paraId="151F0646"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272,23</w:t>
            </w:r>
          </w:p>
        </w:tc>
        <w:tc>
          <w:tcPr>
            <w:tcW w:w="1473" w:type="dxa"/>
            <w:vAlign w:val="center"/>
          </w:tcPr>
          <w:p w14:paraId="62405B62"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62,95</w:t>
            </w:r>
          </w:p>
        </w:tc>
        <w:tc>
          <w:tcPr>
            <w:tcW w:w="1405" w:type="dxa"/>
            <w:vAlign w:val="center"/>
          </w:tcPr>
          <w:p w14:paraId="59FEA208"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17,95</w:t>
            </w:r>
          </w:p>
        </w:tc>
      </w:tr>
      <w:tr w:rsidR="000D5AE2" w:rsidRPr="0041547B" w14:paraId="427318B4" w14:textId="77777777" w:rsidTr="000D5AE2">
        <w:trPr>
          <w:trHeight w:val="600"/>
        </w:trPr>
        <w:tc>
          <w:tcPr>
            <w:tcW w:w="548" w:type="dxa"/>
            <w:vAlign w:val="center"/>
          </w:tcPr>
          <w:p w14:paraId="09C99C9B" w14:textId="77777777" w:rsidR="000D5AE2" w:rsidRPr="0041547B" w:rsidRDefault="000D5AE2" w:rsidP="00AD2559">
            <w:pPr>
              <w:jc w:val="center"/>
              <w:rPr>
                <w:rFonts w:ascii="Book Antiqua" w:hAnsi="Book Antiqua"/>
                <w:sz w:val="20"/>
                <w:szCs w:val="20"/>
              </w:rPr>
            </w:pPr>
          </w:p>
        </w:tc>
        <w:tc>
          <w:tcPr>
            <w:tcW w:w="1122" w:type="dxa"/>
            <w:vAlign w:val="center"/>
          </w:tcPr>
          <w:p w14:paraId="168997C4" w14:textId="77777777" w:rsidR="000D5AE2" w:rsidRPr="0041547B" w:rsidRDefault="000D5AE2" w:rsidP="00AD2559">
            <w:pPr>
              <w:jc w:val="center"/>
              <w:rPr>
                <w:rFonts w:ascii="Book Antiqua" w:hAnsi="Book Antiqua"/>
                <w:sz w:val="20"/>
                <w:szCs w:val="20"/>
              </w:rPr>
            </w:pPr>
            <w:proofErr w:type="spellStart"/>
            <w:r w:rsidRPr="0041547B">
              <w:rPr>
                <w:rFonts w:ascii="Book Antiqua" w:hAnsi="Book Antiqua"/>
                <w:sz w:val="20"/>
                <w:szCs w:val="20"/>
              </w:rPr>
              <w:t>Avarage</w:t>
            </w:r>
            <w:proofErr w:type="spellEnd"/>
          </w:p>
        </w:tc>
        <w:tc>
          <w:tcPr>
            <w:tcW w:w="1194" w:type="dxa"/>
            <w:vAlign w:val="center"/>
          </w:tcPr>
          <w:p w14:paraId="378FE92F"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39,83</w:t>
            </w:r>
          </w:p>
        </w:tc>
        <w:tc>
          <w:tcPr>
            <w:tcW w:w="1797" w:type="dxa"/>
            <w:vAlign w:val="center"/>
          </w:tcPr>
          <w:p w14:paraId="26F185A5"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1574,32</w:t>
            </w:r>
          </w:p>
        </w:tc>
        <w:tc>
          <w:tcPr>
            <w:tcW w:w="1704" w:type="dxa"/>
            <w:vAlign w:val="center"/>
          </w:tcPr>
          <w:p w14:paraId="1AA0CF0E"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63,49</w:t>
            </w:r>
          </w:p>
        </w:tc>
        <w:tc>
          <w:tcPr>
            <w:tcW w:w="1473" w:type="dxa"/>
            <w:vAlign w:val="center"/>
          </w:tcPr>
          <w:p w14:paraId="263403D6"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89,18</w:t>
            </w:r>
          </w:p>
        </w:tc>
        <w:tc>
          <w:tcPr>
            <w:tcW w:w="1405" w:type="dxa"/>
            <w:vAlign w:val="center"/>
          </w:tcPr>
          <w:p w14:paraId="3483E19D" w14:textId="77777777" w:rsidR="000D5AE2" w:rsidRPr="0041547B" w:rsidRDefault="000D5AE2" w:rsidP="00AD2559">
            <w:pPr>
              <w:jc w:val="center"/>
              <w:rPr>
                <w:rFonts w:ascii="Book Antiqua" w:hAnsi="Book Antiqua"/>
                <w:sz w:val="20"/>
                <w:szCs w:val="20"/>
              </w:rPr>
            </w:pPr>
            <w:r w:rsidRPr="0041547B">
              <w:rPr>
                <w:rFonts w:ascii="Book Antiqua" w:hAnsi="Book Antiqua"/>
                <w:sz w:val="20"/>
                <w:szCs w:val="20"/>
              </w:rPr>
              <w:t>17,03</w:t>
            </w:r>
          </w:p>
        </w:tc>
      </w:tr>
    </w:tbl>
    <w:p w14:paraId="706AD74A" w14:textId="23227F8E" w:rsidR="00DA2532" w:rsidRPr="002979FC" w:rsidRDefault="00F64039" w:rsidP="0041547B">
      <w:pPr>
        <w:spacing w:after="0" w:line="240" w:lineRule="auto"/>
        <w:rPr>
          <w:rFonts w:ascii="Book Antiqua" w:hAnsi="Book Antiqua"/>
          <w:sz w:val="24"/>
          <w:szCs w:val="24"/>
        </w:rPr>
      </w:pPr>
      <w:r w:rsidRPr="002979FC">
        <w:rPr>
          <w:rFonts w:ascii="Book Antiqua" w:hAnsi="Book Antiqua"/>
          <w:sz w:val="24"/>
          <w:szCs w:val="24"/>
        </w:rPr>
        <w:t xml:space="preserve">Source: Processed data from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Financial statements (2015-2024)</w:t>
      </w:r>
    </w:p>
    <w:p w14:paraId="4DD232FC" w14:textId="77777777" w:rsidR="00DA2532" w:rsidRPr="002979FC" w:rsidRDefault="00F64039" w:rsidP="00371E89">
      <w:pPr>
        <w:spacing w:after="0" w:line="240" w:lineRule="auto"/>
        <w:jc w:val="both"/>
        <w:rPr>
          <w:rFonts w:ascii="Book Antiqua" w:hAnsi="Book Antiqua"/>
          <w:sz w:val="24"/>
          <w:szCs w:val="24"/>
        </w:rPr>
      </w:pPr>
      <w:r w:rsidRPr="002979FC">
        <w:rPr>
          <w:rFonts w:ascii="Book Antiqua" w:hAnsi="Book Antiqua"/>
          <w:noProof/>
          <w:sz w:val="24"/>
          <w:szCs w:val="24"/>
        </w:rPr>
        <w:drawing>
          <wp:inline distT="0" distB="0" distL="0" distR="0" wp14:anchorId="6E5B8280" wp14:editId="47AA6901">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FAC631" w14:textId="77777777" w:rsidR="0058251E" w:rsidRPr="002979FC" w:rsidRDefault="00D06DCF" w:rsidP="0058251E">
      <w:pPr>
        <w:jc w:val="center"/>
        <w:rPr>
          <w:rFonts w:ascii="Book Antiqua" w:hAnsi="Book Antiqua"/>
          <w:sz w:val="24"/>
          <w:szCs w:val="24"/>
        </w:rPr>
      </w:pPr>
      <w:r w:rsidRPr="002979FC">
        <w:rPr>
          <w:rFonts w:ascii="Book Antiqua" w:hAnsi="Book Antiqua"/>
          <w:sz w:val="24"/>
          <w:szCs w:val="24"/>
        </w:rPr>
        <w:t xml:space="preserve">Figure 3. Activity Ratio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w:t>
      </w:r>
      <w:r w:rsidR="00C33F7A">
        <w:rPr>
          <w:rFonts w:ascii="Book Antiqua" w:hAnsi="Book Antiqua"/>
          <w:sz w:val="24"/>
          <w:szCs w:val="24"/>
        </w:rPr>
        <w:t xml:space="preserve">Tourism Industry </w:t>
      </w:r>
      <w:proofErr w:type="spellStart"/>
      <w:r w:rsidR="00C33F7A">
        <w:rPr>
          <w:rFonts w:ascii="Book Antiqua" w:hAnsi="Book Antiqua"/>
          <w:sz w:val="24"/>
          <w:szCs w:val="24"/>
        </w:rPr>
        <w:t>Tbk</w:t>
      </w:r>
      <w:proofErr w:type="spellEnd"/>
      <w:r w:rsidR="00C33F7A">
        <w:rPr>
          <w:rFonts w:ascii="Book Antiqua" w:hAnsi="Book Antiqua"/>
          <w:sz w:val="24"/>
          <w:szCs w:val="24"/>
        </w:rPr>
        <w:t xml:space="preserve"> (2015-2024)</w:t>
      </w:r>
    </w:p>
    <w:p w14:paraId="1691F4B5" w14:textId="77777777" w:rsidR="0058251E" w:rsidRPr="002979FC" w:rsidRDefault="0058251E" w:rsidP="0058251E">
      <w:pPr>
        <w:spacing w:after="0" w:line="240" w:lineRule="auto"/>
        <w:jc w:val="both"/>
        <w:rPr>
          <w:rFonts w:ascii="Book Antiqua" w:hAnsi="Book Antiqua"/>
          <w:sz w:val="24"/>
          <w:szCs w:val="24"/>
        </w:rPr>
      </w:pPr>
      <w:r w:rsidRPr="002979FC">
        <w:rPr>
          <w:rFonts w:ascii="Book Antiqua" w:hAnsi="Book Antiqua"/>
          <w:sz w:val="24"/>
          <w:szCs w:val="24"/>
        </w:rPr>
        <w:tab/>
        <w:t xml:space="preserve">Table 3 presents the activity ratios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for the period 2015–2024. The activity ratios describe how effectively the company utilizes its assets to generate sales. In general, five types of activity ratios are analyzed, namely Cash Turn Over (CTO), Receivable Turn Over (RTO), Inventory Turn Over (ITO), Fixed Asset Turn Over (FATO), and Total Asset Turn Over (TATO).</w:t>
      </w:r>
    </w:p>
    <w:p w14:paraId="7865925A" w14:textId="77777777" w:rsidR="0058251E" w:rsidRPr="002979FC" w:rsidRDefault="0058251E" w:rsidP="0058251E">
      <w:pPr>
        <w:spacing w:after="0" w:line="240" w:lineRule="auto"/>
        <w:jc w:val="both"/>
        <w:rPr>
          <w:rFonts w:ascii="Book Antiqua" w:hAnsi="Book Antiqua"/>
          <w:sz w:val="24"/>
          <w:szCs w:val="24"/>
        </w:rPr>
      </w:pPr>
      <w:r w:rsidRPr="002979FC">
        <w:rPr>
          <w:rFonts w:ascii="Book Antiqua" w:hAnsi="Book Antiqua"/>
          <w:sz w:val="24"/>
          <w:szCs w:val="24"/>
        </w:rPr>
        <w:tab/>
        <w:t xml:space="preserve">Based on the table, the Cash Turn Over (CTO) ratio shows considerable fluctuations over the years. In 2015, the CTO was 66.35%, rising to 88.12% in 2016, but significantly dropping to 13.51% in 2020. This indicates that the company’s ability to </w:t>
      </w:r>
      <w:r w:rsidRPr="002979FC">
        <w:rPr>
          <w:rFonts w:ascii="Book Antiqua" w:hAnsi="Book Antiqua"/>
          <w:sz w:val="24"/>
          <w:szCs w:val="24"/>
        </w:rPr>
        <w:lastRenderedPageBreak/>
        <w:t>manage cash for operational activities was unstable, although it improved again in 2024 to 28.03%.</w:t>
      </w:r>
    </w:p>
    <w:p w14:paraId="6BAC754A" w14:textId="77777777" w:rsidR="0058251E" w:rsidRPr="002979FC" w:rsidRDefault="0058251E" w:rsidP="0058251E">
      <w:pPr>
        <w:spacing w:after="0" w:line="240" w:lineRule="auto"/>
        <w:jc w:val="both"/>
        <w:rPr>
          <w:rFonts w:ascii="Book Antiqua" w:hAnsi="Book Antiqua"/>
          <w:sz w:val="24"/>
          <w:szCs w:val="24"/>
        </w:rPr>
      </w:pPr>
      <w:r w:rsidRPr="002979FC">
        <w:rPr>
          <w:rFonts w:ascii="Book Antiqua" w:hAnsi="Book Antiqua"/>
          <w:sz w:val="24"/>
          <w:szCs w:val="24"/>
        </w:rPr>
        <w:tab/>
        <w:t>The Receivable Turn Over (RTO) ratio shows a very high level of receivable collection in the early years, reaching 2,494.73% in 2015 and increasing to 4,905.73% in 2019. However, the ratio declined sharply to 120.10% in 2020, indicating a decrease in efficiency of receivable collection. Nevertheless, RTO improved again in 2024, reaching 3,353.59%.</w:t>
      </w:r>
    </w:p>
    <w:p w14:paraId="28D9113B" w14:textId="7D842EFE" w:rsidR="00C56326" w:rsidRPr="002979FC" w:rsidRDefault="0058251E" w:rsidP="0058251E">
      <w:pPr>
        <w:spacing w:after="0" w:line="240" w:lineRule="auto"/>
        <w:jc w:val="both"/>
        <w:rPr>
          <w:rFonts w:ascii="Book Antiqua" w:hAnsi="Book Antiqua"/>
          <w:sz w:val="24"/>
          <w:szCs w:val="24"/>
        </w:rPr>
      </w:pPr>
      <w:r w:rsidRPr="002979FC">
        <w:rPr>
          <w:rFonts w:ascii="Book Antiqua" w:hAnsi="Book Antiqua"/>
          <w:sz w:val="24"/>
          <w:szCs w:val="24"/>
        </w:rPr>
        <w:tab/>
        <w:t>Meanwhile, the Inventory Turn Over (ITO) ratio also experienced fluctuations. It stood at 94.15% in 2015, increased to 131.84% in 2019, but dropped to 10.58% in 2021. The ratio then surged again in 2024 to 272.23%, indicating improved efficiency in managing inventory levels.</w:t>
      </w:r>
    </w:p>
    <w:p w14:paraId="2A76CE51" w14:textId="77777777" w:rsidR="0058251E" w:rsidRPr="002979FC" w:rsidRDefault="0058251E" w:rsidP="0058251E">
      <w:pPr>
        <w:spacing w:after="0" w:line="240" w:lineRule="auto"/>
        <w:jc w:val="both"/>
        <w:rPr>
          <w:rFonts w:ascii="Book Antiqua" w:hAnsi="Book Antiqua"/>
          <w:sz w:val="24"/>
          <w:szCs w:val="24"/>
        </w:rPr>
      </w:pPr>
      <w:r w:rsidRPr="002979FC">
        <w:rPr>
          <w:rFonts w:ascii="Book Antiqua" w:hAnsi="Book Antiqua"/>
          <w:sz w:val="24"/>
          <w:szCs w:val="24"/>
        </w:rPr>
        <w:tab/>
        <w:t>The Fixed Asset Turn Over (FATO) ratio reflects the company’s ability to utilize fixed assets to generate revenue. The ratio reached a high of 206.93% in 2019, but decreased to 55.12% in 2020, with an overall average of 89.06%</w:t>
      </w:r>
      <w:r w:rsidR="00C56326">
        <w:rPr>
          <w:rFonts w:ascii="Book Antiqua" w:hAnsi="Book Antiqua"/>
          <w:sz w:val="24"/>
          <w:szCs w:val="24"/>
        </w:rPr>
        <w:t xml:space="preserve"> during the observation period.</w:t>
      </w:r>
    </w:p>
    <w:p w14:paraId="2AD5B0A6" w14:textId="77777777" w:rsidR="0058251E" w:rsidRPr="002979FC" w:rsidRDefault="0058251E" w:rsidP="0058251E">
      <w:pPr>
        <w:spacing w:after="0" w:line="240" w:lineRule="auto"/>
        <w:jc w:val="both"/>
        <w:rPr>
          <w:rFonts w:ascii="Book Antiqua" w:hAnsi="Book Antiqua"/>
          <w:sz w:val="24"/>
          <w:szCs w:val="24"/>
        </w:rPr>
      </w:pPr>
      <w:r w:rsidRPr="002979FC">
        <w:rPr>
          <w:rFonts w:ascii="Book Antiqua" w:hAnsi="Book Antiqua"/>
          <w:sz w:val="24"/>
          <w:szCs w:val="24"/>
        </w:rPr>
        <w:tab/>
        <w:t>Finally, the Total Asset Turn Over (TATO) ratio shows how efficiently the company uses all its assets to generate sales. The highest value occurred in 2019 at 38.68%, while the lowest was in 2021 at 1.55%, with an overall average of 17.03%. This result indicates that the company has not yet been consistent in optimizing the use of its total assets to support its operational performance.</w:t>
      </w:r>
    </w:p>
    <w:p w14:paraId="455987C7" w14:textId="530BC041" w:rsidR="0058251E" w:rsidRPr="004F73F5" w:rsidRDefault="0058251E" w:rsidP="00371E89">
      <w:pPr>
        <w:spacing w:after="0" w:line="240" w:lineRule="auto"/>
        <w:jc w:val="both"/>
        <w:rPr>
          <w:rFonts w:ascii="Book Antiqua" w:hAnsi="Book Antiqua"/>
          <w:sz w:val="24"/>
          <w:szCs w:val="24"/>
        </w:rPr>
      </w:pPr>
      <w:r w:rsidRPr="002979FC">
        <w:rPr>
          <w:rFonts w:ascii="Book Antiqua" w:hAnsi="Book Antiqua"/>
          <w:sz w:val="24"/>
          <w:szCs w:val="24"/>
        </w:rPr>
        <w:tab/>
        <w:t xml:space="preserve">In conclusion, the activity ratios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during 2015–2024 show fluctuating conditions across all indicators. Although there was improvement in recent years, the company still needs to enhance the efficiency of asset utilization to achieve more stable and optimal financial performance in the future.</w:t>
      </w:r>
    </w:p>
    <w:p w14:paraId="16BABE41" w14:textId="77777777" w:rsidR="0058251E" w:rsidRPr="004F73F5" w:rsidRDefault="0058251E" w:rsidP="004F73F5">
      <w:pPr>
        <w:spacing w:after="0" w:line="240" w:lineRule="auto"/>
        <w:jc w:val="center"/>
        <w:rPr>
          <w:rFonts w:ascii="Book Antiqua" w:hAnsi="Book Antiqua"/>
          <w:sz w:val="24"/>
          <w:szCs w:val="24"/>
        </w:rPr>
      </w:pPr>
      <w:r w:rsidRPr="004F73F5">
        <w:rPr>
          <w:rFonts w:ascii="Book Antiqua" w:hAnsi="Book Antiqua"/>
          <w:sz w:val="24"/>
          <w:szCs w:val="24"/>
        </w:rPr>
        <w:t>Tab</w:t>
      </w:r>
      <w:r w:rsidR="00FE404E" w:rsidRPr="004F73F5">
        <w:rPr>
          <w:rFonts w:ascii="Book Antiqua" w:hAnsi="Book Antiqua"/>
          <w:sz w:val="24"/>
          <w:szCs w:val="24"/>
        </w:rPr>
        <w:t>le 4</w:t>
      </w:r>
      <w:r w:rsidRPr="004F73F5">
        <w:rPr>
          <w:rFonts w:ascii="Book Antiqua" w:hAnsi="Book Antiqua"/>
          <w:sz w:val="24"/>
          <w:szCs w:val="24"/>
        </w:rPr>
        <w:t xml:space="preserve">. </w:t>
      </w:r>
      <w:r w:rsidR="0027516C" w:rsidRPr="004F73F5">
        <w:rPr>
          <w:rFonts w:ascii="Book Antiqua" w:hAnsi="Book Antiqua"/>
          <w:sz w:val="24"/>
          <w:szCs w:val="24"/>
        </w:rPr>
        <w:t xml:space="preserve">Profitability </w:t>
      </w:r>
      <w:r w:rsidRPr="004F73F5">
        <w:rPr>
          <w:rFonts w:ascii="Book Antiqua" w:hAnsi="Book Antiqua"/>
          <w:sz w:val="24"/>
          <w:szCs w:val="24"/>
        </w:rPr>
        <w:t xml:space="preserve">Ratio of PT Sona </w:t>
      </w:r>
      <w:proofErr w:type="spellStart"/>
      <w:r w:rsidRPr="004F73F5">
        <w:rPr>
          <w:rFonts w:ascii="Book Antiqua" w:hAnsi="Book Antiqua"/>
          <w:sz w:val="24"/>
          <w:szCs w:val="24"/>
        </w:rPr>
        <w:t>Topas</w:t>
      </w:r>
      <w:proofErr w:type="spellEnd"/>
      <w:r w:rsidRPr="004F73F5">
        <w:rPr>
          <w:rFonts w:ascii="Book Antiqua" w:hAnsi="Book Antiqua"/>
          <w:sz w:val="24"/>
          <w:szCs w:val="24"/>
        </w:rPr>
        <w:t xml:space="preserve"> Tourism Industry </w:t>
      </w:r>
      <w:proofErr w:type="spellStart"/>
      <w:r w:rsidRPr="004F73F5">
        <w:rPr>
          <w:rFonts w:ascii="Book Antiqua" w:hAnsi="Book Antiqua"/>
          <w:sz w:val="24"/>
          <w:szCs w:val="24"/>
        </w:rPr>
        <w:t>Tbk</w:t>
      </w:r>
      <w:proofErr w:type="spellEnd"/>
      <w:r w:rsidRPr="004F73F5">
        <w:rPr>
          <w:rFonts w:ascii="Book Antiqua" w:hAnsi="Book Antiqua"/>
          <w:sz w:val="24"/>
          <w:szCs w:val="24"/>
        </w:rPr>
        <w:t xml:space="preserve"> (2015-2024)</w:t>
      </w:r>
    </w:p>
    <w:tbl>
      <w:tblPr>
        <w:tblStyle w:val="TableGrid"/>
        <w:tblW w:w="0" w:type="auto"/>
        <w:tblLayout w:type="fixed"/>
        <w:tblLook w:val="04A0" w:firstRow="1" w:lastRow="0" w:firstColumn="1" w:lastColumn="0" w:noHBand="0" w:noVBand="1"/>
      </w:tblPr>
      <w:tblGrid>
        <w:gridCol w:w="548"/>
        <w:gridCol w:w="1122"/>
        <w:gridCol w:w="1057"/>
        <w:gridCol w:w="1094"/>
        <w:gridCol w:w="1274"/>
        <w:gridCol w:w="1277"/>
        <w:gridCol w:w="1011"/>
        <w:gridCol w:w="930"/>
        <w:gridCol w:w="930"/>
      </w:tblGrid>
      <w:tr w:rsidR="00EE3EEC" w:rsidRPr="0041547B" w14:paraId="5942F9E7" w14:textId="77777777" w:rsidTr="00EE3EEC">
        <w:tc>
          <w:tcPr>
            <w:tcW w:w="548" w:type="dxa"/>
          </w:tcPr>
          <w:p w14:paraId="152178BE"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No</w:t>
            </w:r>
          </w:p>
        </w:tc>
        <w:tc>
          <w:tcPr>
            <w:tcW w:w="1122" w:type="dxa"/>
          </w:tcPr>
          <w:p w14:paraId="4021BC2F"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Year</w:t>
            </w:r>
          </w:p>
        </w:tc>
        <w:tc>
          <w:tcPr>
            <w:tcW w:w="1057" w:type="dxa"/>
          </w:tcPr>
          <w:p w14:paraId="693D2286"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GPM (%)</w:t>
            </w:r>
          </w:p>
        </w:tc>
        <w:tc>
          <w:tcPr>
            <w:tcW w:w="1094" w:type="dxa"/>
          </w:tcPr>
          <w:p w14:paraId="69626B82"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OPM (%)</w:t>
            </w:r>
          </w:p>
        </w:tc>
        <w:tc>
          <w:tcPr>
            <w:tcW w:w="1274" w:type="dxa"/>
          </w:tcPr>
          <w:p w14:paraId="7FC34B97"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NPM or PM</w:t>
            </w:r>
          </w:p>
          <w:p w14:paraId="0237D93E"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w:t>
            </w:r>
          </w:p>
        </w:tc>
        <w:tc>
          <w:tcPr>
            <w:tcW w:w="1277" w:type="dxa"/>
          </w:tcPr>
          <w:p w14:paraId="3395DCE4"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ROI or ROA</w:t>
            </w:r>
          </w:p>
          <w:p w14:paraId="1747E79B"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w:t>
            </w:r>
          </w:p>
        </w:tc>
        <w:tc>
          <w:tcPr>
            <w:tcW w:w="1011" w:type="dxa"/>
          </w:tcPr>
          <w:p w14:paraId="3C8CE872"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ROE (%)</w:t>
            </w:r>
          </w:p>
        </w:tc>
        <w:tc>
          <w:tcPr>
            <w:tcW w:w="930" w:type="dxa"/>
          </w:tcPr>
          <w:p w14:paraId="04BE2DAB"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EPS</w:t>
            </w:r>
          </w:p>
        </w:tc>
        <w:tc>
          <w:tcPr>
            <w:tcW w:w="930" w:type="dxa"/>
          </w:tcPr>
          <w:p w14:paraId="0EEA9AD8"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DPS</w:t>
            </w:r>
          </w:p>
        </w:tc>
      </w:tr>
      <w:tr w:rsidR="00EE3EEC" w:rsidRPr="0041547B" w14:paraId="31BDB532" w14:textId="77777777" w:rsidTr="00EE3EEC">
        <w:tc>
          <w:tcPr>
            <w:tcW w:w="548" w:type="dxa"/>
          </w:tcPr>
          <w:p w14:paraId="7979FDEA"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1</w:t>
            </w:r>
          </w:p>
        </w:tc>
        <w:tc>
          <w:tcPr>
            <w:tcW w:w="1122" w:type="dxa"/>
          </w:tcPr>
          <w:p w14:paraId="580EE288"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2015</w:t>
            </w:r>
          </w:p>
        </w:tc>
        <w:tc>
          <w:tcPr>
            <w:tcW w:w="1057" w:type="dxa"/>
          </w:tcPr>
          <w:p w14:paraId="4E15643B"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46,74</w:t>
            </w:r>
          </w:p>
        </w:tc>
        <w:tc>
          <w:tcPr>
            <w:tcW w:w="1094" w:type="dxa"/>
          </w:tcPr>
          <w:p w14:paraId="25B309B2"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6,91</w:t>
            </w:r>
          </w:p>
        </w:tc>
        <w:tc>
          <w:tcPr>
            <w:tcW w:w="1274" w:type="dxa"/>
          </w:tcPr>
          <w:p w14:paraId="6087B878"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2,58</w:t>
            </w:r>
          </w:p>
        </w:tc>
        <w:tc>
          <w:tcPr>
            <w:tcW w:w="1277" w:type="dxa"/>
          </w:tcPr>
          <w:p w14:paraId="51BCC66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3,25</w:t>
            </w:r>
          </w:p>
        </w:tc>
        <w:tc>
          <w:tcPr>
            <w:tcW w:w="1011" w:type="dxa"/>
          </w:tcPr>
          <w:p w14:paraId="521381EE"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19,69</w:t>
            </w:r>
          </w:p>
        </w:tc>
        <w:tc>
          <w:tcPr>
            <w:tcW w:w="930" w:type="dxa"/>
          </w:tcPr>
          <w:p w14:paraId="516C699E"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111,43</w:t>
            </w:r>
          </w:p>
        </w:tc>
        <w:tc>
          <w:tcPr>
            <w:tcW w:w="930" w:type="dxa"/>
          </w:tcPr>
          <w:p w14:paraId="471CAA4A"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126,64</w:t>
            </w:r>
          </w:p>
        </w:tc>
      </w:tr>
      <w:tr w:rsidR="00EE3EEC" w:rsidRPr="0041547B" w14:paraId="2D43CD8F" w14:textId="77777777" w:rsidTr="00EE3EEC">
        <w:tc>
          <w:tcPr>
            <w:tcW w:w="548" w:type="dxa"/>
          </w:tcPr>
          <w:p w14:paraId="55DD109C"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w:t>
            </w:r>
          </w:p>
        </w:tc>
        <w:tc>
          <w:tcPr>
            <w:tcW w:w="1122" w:type="dxa"/>
          </w:tcPr>
          <w:p w14:paraId="1CD31B86"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2016</w:t>
            </w:r>
          </w:p>
        </w:tc>
        <w:tc>
          <w:tcPr>
            <w:tcW w:w="1057" w:type="dxa"/>
          </w:tcPr>
          <w:p w14:paraId="69D397E7"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45,00</w:t>
            </w:r>
          </w:p>
        </w:tc>
        <w:tc>
          <w:tcPr>
            <w:tcW w:w="1094" w:type="dxa"/>
          </w:tcPr>
          <w:p w14:paraId="757769E8"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-0,10</w:t>
            </w:r>
          </w:p>
        </w:tc>
        <w:tc>
          <w:tcPr>
            <w:tcW w:w="1274" w:type="dxa"/>
          </w:tcPr>
          <w:p w14:paraId="0126E631"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-1,02</w:t>
            </w:r>
          </w:p>
        </w:tc>
        <w:tc>
          <w:tcPr>
            <w:tcW w:w="1277" w:type="dxa"/>
          </w:tcPr>
          <w:p w14:paraId="4C59917C"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-1,41</w:t>
            </w:r>
          </w:p>
        </w:tc>
        <w:tc>
          <w:tcPr>
            <w:tcW w:w="1011" w:type="dxa"/>
          </w:tcPr>
          <w:p w14:paraId="232F17EB"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21,69</w:t>
            </w:r>
          </w:p>
        </w:tc>
        <w:tc>
          <w:tcPr>
            <w:tcW w:w="930" w:type="dxa"/>
          </w:tcPr>
          <w:p w14:paraId="60B55774"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-44,02</w:t>
            </w:r>
          </w:p>
        </w:tc>
        <w:tc>
          <w:tcPr>
            <w:tcW w:w="930" w:type="dxa"/>
          </w:tcPr>
          <w:p w14:paraId="27E8E91D"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-55,97</w:t>
            </w:r>
          </w:p>
        </w:tc>
      </w:tr>
      <w:tr w:rsidR="00EE3EEC" w:rsidRPr="0041547B" w14:paraId="44A03568" w14:textId="77777777" w:rsidTr="00EE3EEC">
        <w:tc>
          <w:tcPr>
            <w:tcW w:w="548" w:type="dxa"/>
          </w:tcPr>
          <w:p w14:paraId="1D31C07E"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3</w:t>
            </w:r>
          </w:p>
        </w:tc>
        <w:tc>
          <w:tcPr>
            <w:tcW w:w="1122" w:type="dxa"/>
          </w:tcPr>
          <w:p w14:paraId="18B25793"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2017</w:t>
            </w:r>
          </w:p>
        </w:tc>
        <w:tc>
          <w:tcPr>
            <w:tcW w:w="1057" w:type="dxa"/>
          </w:tcPr>
          <w:p w14:paraId="0CD665EB"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46,22</w:t>
            </w:r>
          </w:p>
        </w:tc>
        <w:tc>
          <w:tcPr>
            <w:tcW w:w="1094" w:type="dxa"/>
          </w:tcPr>
          <w:p w14:paraId="18108EBD"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6,23</w:t>
            </w:r>
          </w:p>
        </w:tc>
        <w:tc>
          <w:tcPr>
            <w:tcW w:w="1274" w:type="dxa"/>
          </w:tcPr>
          <w:p w14:paraId="4E409C23"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3,42</w:t>
            </w:r>
          </w:p>
        </w:tc>
        <w:tc>
          <w:tcPr>
            <w:tcW w:w="1277" w:type="dxa"/>
          </w:tcPr>
          <w:p w14:paraId="1FB2BC64"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4,74</w:t>
            </w:r>
          </w:p>
        </w:tc>
        <w:tc>
          <w:tcPr>
            <w:tcW w:w="1011" w:type="dxa"/>
          </w:tcPr>
          <w:p w14:paraId="26F1FB5B"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19,60</w:t>
            </w:r>
          </w:p>
        </w:tc>
        <w:tc>
          <w:tcPr>
            <w:tcW w:w="930" w:type="dxa"/>
          </w:tcPr>
          <w:p w14:paraId="2C44A049"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163,26</w:t>
            </w:r>
          </w:p>
        </w:tc>
        <w:tc>
          <w:tcPr>
            <w:tcW w:w="930" w:type="dxa"/>
          </w:tcPr>
          <w:p w14:paraId="5FC5DC45"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158,12</w:t>
            </w:r>
          </w:p>
        </w:tc>
      </w:tr>
      <w:tr w:rsidR="00EE3EEC" w:rsidRPr="0041547B" w14:paraId="50870B6F" w14:textId="77777777" w:rsidTr="00EE3EEC">
        <w:tc>
          <w:tcPr>
            <w:tcW w:w="548" w:type="dxa"/>
          </w:tcPr>
          <w:p w14:paraId="512DB7AA"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4</w:t>
            </w:r>
          </w:p>
        </w:tc>
        <w:tc>
          <w:tcPr>
            <w:tcW w:w="1122" w:type="dxa"/>
          </w:tcPr>
          <w:p w14:paraId="61EBC946"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2018</w:t>
            </w:r>
          </w:p>
        </w:tc>
        <w:tc>
          <w:tcPr>
            <w:tcW w:w="1057" w:type="dxa"/>
          </w:tcPr>
          <w:p w14:paraId="2D957E70"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48,10</w:t>
            </w:r>
          </w:p>
        </w:tc>
        <w:tc>
          <w:tcPr>
            <w:tcW w:w="1094" w:type="dxa"/>
          </w:tcPr>
          <w:p w14:paraId="5B2059C4"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9,97</w:t>
            </w:r>
          </w:p>
        </w:tc>
        <w:tc>
          <w:tcPr>
            <w:tcW w:w="1274" w:type="dxa"/>
          </w:tcPr>
          <w:p w14:paraId="03208E3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6,25</w:t>
            </w:r>
          </w:p>
        </w:tc>
        <w:tc>
          <w:tcPr>
            <w:tcW w:w="1277" w:type="dxa"/>
          </w:tcPr>
          <w:p w14:paraId="12FBCD6A"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9,87</w:t>
            </w:r>
          </w:p>
        </w:tc>
        <w:tc>
          <w:tcPr>
            <w:tcW w:w="1011" w:type="dxa"/>
          </w:tcPr>
          <w:p w14:paraId="6104064B"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17,88</w:t>
            </w:r>
          </w:p>
        </w:tc>
        <w:tc>
          <w:tcPr>
            <w:tcW w:w="930" w:type="dxa"/>
          </w:tcPr>
          <w:p w14:paraId="72725139"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372,80</w:t>
            </w:r>
          </w:p>
        </w:tc>
        <w:tc>
          <w:tcPr>
            <w:tcW w:w="930" w:type="dxa"/>
          </w:tcPr>
          <w:p w14:paraId="26A2D9B7"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377,72</w:t>
            </w:r>
          </w:p>
        </w:tc>
      </w:tr>
      <w:tr w:rsidR="00EE3EEC" w:rsidRPr="0041547B" w14:paraId="748BEC3C" w14:textId="77777777" w:rsidTr="00EE3EEC">
        <w:tc>
          <w:tcPr>
            <w:tcW w:w="548" w:type="dxa"/>
          </w:tcPr>
          <w:p w14:paraId="67CE85E0"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5</w:t>
            </w:r>
          </w:p>
        </w:tc>
        <w:tc>
          <w:tcPr>
            <w:tcW w:w="1122" w:type="dxa"/>
          </w:tcPr>
          <w:p w14:paraId="78F2D96F"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2019</w:t>
            </w:r>
          </w:p>
        </w:tc>
        <w:tc>
          <w:tcPr>
            <w:tcW w:w="1057" w:type="dxa"/>
          </w:tcPr>
          <w:p w14:paraId="178C6938"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48,24</w:t>
            </w:r>
          </w:p>
        </w:tc>
        <w:tc>
          <w:tcPr>
            <w:tcW w:w="1094" w:type="dxa"/>
          </w:tcPr>
          <w:p w14:paraId="00AD406C"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5,19</w:t>
            </w:r>
          </w:p>
        </w:tc>
        <w:tc>
          <w:tcPr>
            <w:tcW w:w="1274" w:type="dxa"/>
          </w:tcPr>
          <w:p w14:paraId="118D0FC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4,48</w:t>
            </w:r>
          </w:p>
        </w:tc>
        <w:tc>
          <w:tcPr>
            <w:tcW w:w="1277" w:type="dxa"/>
          </w:tcPr>
          <w:p w14:paraId="6BA2328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7,05</w:t>
            </w:r>
          </w:p>
        </w:tc>
        <w:tc>
          <w:tcPr>
            <w:tcW w:w="1011" w:type="dxa"/>
          </w:tcPr>
          <w:p w14:paraId="487890F0"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20,15</w:t>
            </w:r>
          </w:p>
        </w:tc>
        <w:tc>
          <w:tcPr>
            <w:tcW w:w="930" w:type="dxa"/>
          </w:tcPr>
          <w:p w14:paraId="545D120A"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236,41</w:t>
            </w:r>
          </w:p>
        </w:tc>
        <w:tc>
          <w:tcPr>
            <w:tcW w:w="930" w:type="dxa"/>
          </w:tcPr>
          <w:p w14:paraId="1189F515"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214,34</w:t>
            </w:r>
          </w:p>
        </w:tc>
      </w:tr>
      <w:tr w:rsidR="00EE3EEC" w:rsidRPr="0041547B" w14:paraId="0D7D1040" w14:textId="77777777" w:rsidTr="00EE3EEC">
        <w:tc>
          <w:tcPr>
            <w:tcW w:w="548" w:type="dxa"/>
          </w:tcPr>
          <w:p w14:paraId="36F2B02F"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6</w:t>
            </w:r>
          </w:p>
        </w:tc>
        <w:tc>
          <w:tcPr>
            <w:tcW w:w="1122" w:type="dxa"/>
          </w:tcPr>
          <w:p w14:paraId="175DD49E"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2020</w:t>
            </w:r>
          </w:p>
        </w:tc>
        <w:tc>
          <w:tcPr>
            <w:tcW w:w="1057" w:type="dxa"/>
          </w:tcPr>
          <w:p w14:paraId="05B26733"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51,95</w:t>
            </w:r>
          </w:p>
        </w:tc>
        <w:tc>
          <w:tcPr>
            <w:tcW w:w="1094" w:type="dxa"/>
          </w:tcPr>
          <w:p w14:paraId="282DD30A"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-68,07</w:t>
            </w:r>
          </w:p>
        </w:tc>
        <w:tc>
          <w:tcPr>
            <w:tcW w:w="1274" w:type="dxa"/>
          </w:tcPr>
          <w:p w14:paraId="0105F35D"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-53,58</w:t>
            </w:r>
          </w:p>
        </w:tc>
        <w:tc>
          <w:tcPr>
            <w:tcW w:w="1277" w:type="dxa"/>
          </w:tcPr>
          <w:p w14:paraId="5C55EA4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-15,41</w:t>
            </w:r>
          </w:p>
        </w:tc>
        <w:tc>
          <w:tcPr>
            <w:tcW w:w="1011" w:type="dxa"/>
          </w:tcPr>
          <w:p w14:paraId="6708DE03"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26,20</w:t>
            </w:r>
          </w:p>
        </w:tc>
        <w:tc>
          <w:tcPr>
            <w:tcW w:w="930" w:type="dxa"/>
          </w:tcPr>
          <w:p w14:paraId="5A39FDF1" w14:textId="77777777" w:rsidR="0027516C" w:rsidRPr="0041547B" w:rsidRDefault="0027516C" w:rsidP="00EE3EEC">
            <w:pPr>
              <w:jc w:val="center"/>
              <w:rPr>
                <w:rFonts w:ascii="Book Antiqua" w:hAnsi="Book Antiqua"/>
                <w:sz w:val="20"/>
                <w:szCs w:val="20"/>
              </w:rPr>
            </w:pPr>
            <w:r w:rsidRPr="0041547B">
              <w:rPr>
                <w:rFonts w:ascii="Book Antiqua" w:hAnsi="Book Antiqua"/>
                <w:sz w:val="20"/>
                <w:szCs w:val="20"/>
              </w:rPr>
              <w:t>-</w:t>
            </w:r>
            <w:r w:rsidR="00EE3EEC" w:rsidRPr="0041547B">
              <w:rPr>
                <w:rFonts w:ascii="Book Antiqua" w:hAnsi="Book Antiqua"/>
                <w:sz w:val="20"/>
                <w:szCs w:val="20"/>
              </w:rPr>
              <w:t>397</w:t>
            </w:r>
          </w:p>
          <w:p w14:paraId="7DCFF31E"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,21</w:t>
            </w:r>
          </w:p>
        </w:tc>
        <w:tc>
          <w:tcPr>
            <w:tcW w:w="930" w:type="dxa"/>
          </w:tcPr>
          <w:p w14:paraId="2DAECDAC" w14:textId="77777777" w:rsidR="0027516C" w:rsidRPr="0041547B" w:rsidRDefault="00EE3EEC" w:rsidP="00EE3EEC">
            <w:pPr>
              <w:jc w:val="center"/>
              <w:rPr>
                <w:rFonts w:ascii="Book Antiqua" w:hAnsi="Book Antiqua"/>
                <w:sz w:val="20"/>
                <w:szCs w:val="20"/>
              </w:rPr>
            </w:pPr>
            <w:r w:rsidRPr="0041547B">
              <w:rPr>
                <w:rFonts w:ascii="Book Antiqua" w:hAnsi="Book Antiqua"/>
                <w:sz w:val="20"/>
                <w:szCs w:val="20"/>
              </w:rPr>
              <w:t>-391</w:t>
            </w:r>
          </w:p>
          <w:p w14:paraId="2614F80F"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,22</w:t>
            </w:r>
          </w:p>
        </w:tc>
      </w:tr>
      <w:tr w:rsidR="00EE3EEC" w:rsidRPr="0041547B" w14:paraId="3205E8D6" w14:textId="77777777" w:rsidTr="00EE3EEC">
        <w:tc>
          <w:tcPr>
            <w:tcW w:w="548" w:type="dxa"/>
          </w:tcPr>
          <w:p w14:paraId="11E50E97"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7</w:t>
            </w:r>
          </w:p>
        </w:tc>
        <w:tc>
          <w:tcPr>
            <w:tcW w:w="1122" w:type="dxa"/>
          </w:tcPr>
          <w:p w14:paraId="1B6D7832"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2021</w:t>
            </w:r>
          </w:p>
        </w:tc>
        <w:tc>
          <w:tcPr>
            <w:tcW w:w="1057" w:type="dxa"/>
          </w:tcPr>
          <w:p w14:paraId="51A8D8A0"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55,04</w:t>
            </w:r>
          </w:p>
        </w:tc>
        <w:tc>
          <w:tcPr>
            <w:tcW w:w="1094" w:type="dxa"/>
          </w:tcPr>
          <w:p w14:paraId="558B506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-155,81</w:t>
            </w:r>
          </w:p>
        </w:tc>
        <w:tc>
          <w:tcPr>
            <w:tcW w:w="1274" w:type="dxa"/>
          </w:tcPr>
          <w:p w14:paraId="5C97ACC5"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-84,43</w:t>
            </w:r>
          </w:p>
        </w:tc>
        <w:tc>
          <w:tcPr>
            <w:tcW w:w="1277" w:type="dxa"/>
          </w:tcPr>
          <w:p w14:paraId="41CBF45B"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-7,74</w:t>
            </w:r>
          </w:p>
        </w:tc>
        <w:tc>
          <w:tcPr>
            <w:tcW w:w="1011" w:type="dxa"/>
          </w:tcPr>
          <w:p w14:paraId="486A2B63"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30,23</w:t>
            </w:r>
          </w:p>
        </w:tc>
        <w:tc>
          <w:tcPr>
            <w:tcW w:w="930" w:type="dxa"/>
          </w:tcPr>
          <w:p w14:paraId="2C0F571F" w14:textId="77777777" w:rsidR="0027516C" w:rsidRPr="0041547B" w:rsidRDefault="00EE3EEC" w:rsidP="00EE3EEC">
            <w:pPr>
              <w:jc w:val="center"/>
              <w:rPr>
                <w:rFonts w:ascii="Book Antiqua" w:hAnsi="Book Antiqua"/>
                <w:sz w:val="20"/>
                <w:szCs w:val="20"/>
              </w:rPr>
            </w:pPr>
            <w:r w:rsidRPr="0041547B">
              <w:rPr>
                <w:rFonts w:ascii="Book Antiqua" w:hAnsi="Book Antiqua"/>
                <w:sz w:val="20"/>
                <w:szCs w:val="20"/>
              </w:rPr>
              <w:t>-173</w:t>
            </w:r>
          </w:p>
          <w:p w14:paraId="638E1827"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,01</w:t>
            </w:r>
          </w:p>
        </w:tc>
        <w:tc>
          <w:tcPr>
            <w:tcW w:w="930" w:type="dxa"/>
          </w:tcPr>
          <w:p w14:paraId="5D416C7A" w14:textId="77777777" w:rsidR="0027516C" w:rsidRPr="0041547B" w:rsidRDefault="00EE3EEC" w:rsidP="00EE3EEC">
            <w:pPr>
              <w:jc w:val="center"/>
              <w:rPr>
                <w:rFonts w:ascii="Book Antiqua" w:hAnsi="Book Antiqua"/>
                <w:sz w:val="20"/>
                <w:szCs w:val="20"/>
              </w:rPr>
            </w:pPr>
            <w:r w:rsidRPr="0041547B">
              <w:rPr>
                <w:rFonts w:ascii="Book Antiqua" w:hAnsi="Book Antiqua"/>
                <w:sz w:val="20"/>
                <w:szCs w:val="20"/>
              </w:rPr>
              <w:t>-167</w:t>
            </w:r>
          </w:p>
          <w:p w14:paraId="31EB7C2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,78</w:t>
            </w:r>
          </w:p>
        </w:tc>
      </w:tr>
      <w:tr w:rsidR="00EE3EEC" w:rsidRPr="0041547B" w14:paraId="5101A289" w14:textId="77777777" w:rsidTr="00EE3EEC">
        <w:tc>
          <w:tcPr>
            <w:tcW w:w="548" w:type="dxa"/>
          </w:tcPr>
          <w:p w14:paraId="27C23455"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8</w:t>
            </w:r>
          </w:p>
        </w:tc>
        <w:tc>
          <w:tcPr>
            <w:tcW w:w="1122" w:type="dxa"/>
          </w:tcPr>
          <w:p w14:paraId="605E6B81"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2022</w:t>
            </w:r>
          </w:p>
        </w:tc>
        <w:tc>
          <w:tcPr>
            <w:tcW w:w="1057" w:type="dxa"/>
          </w:tcPr>
          <w:p w14:paraId="214F30C5"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52,98</w:t>
            </w:r>
          </w:p>
        </w:tc>
        <w:tc>
          <w:tcPr>
            <w:tcW w:w="1094" w:type="dxa"/>
          </w:tcPr>
          <w:p w14:paraId="760EC789"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-19,96</w:t>
            </w:r>
          </w:p>
        </w:tc>
        <w:tc>
          <w:tcPr>
            <w:tcW w:w="1274" w:type="dxa"/>
          </w:tcPr>
          <w:p w14:paraId="3009C809"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-15,15</w:t>
            </w:r>
          </w:p>
        </w:tc>
        <w:tc>
          <w:tcPr>
            <w:tcW w:w="1277" w:type="dxa"/>
          </w:tcPr>
          <w:p w14:paraId="024BBF17"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-4,95</w:t>
            </w:r>
          </w:p>
        </w:tc>
        <w:tc>
          <w:tcPr>
            <w:tcW w:w="1011" w:type="dxa"/>
          </w:tcPr>
          <w:p w14:paraId="2EEE8337"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22,94</w:t>
            </w:r>
          </w:p>
        </w:tc>
        <w:tc>
          <w:tcPr>
            <w:tcW w:w="930" w:type="dxa"/>
          </w:tcPr>
          <w:p w14:paraId="0F2C8EC1" w14:textId="77777777" w:rsidR="0027516C" w:rsidRPr="0041547B" w:rsidRDefault="00EE3EEC" w:rsidP="00EE3EEC">
            <w:pPr>
              <w:jc w:val="center"/>
              <w:rPr>
                <w:rFonts w:ascii="Book Antiqua" w:hAnsi="Book Antiqua"/>
                <w:sz w:val="20"/>
                <w:szCs w:val="20"/>
              </w:rPr>
            </w:pPr>
            <w:r w:rsidRPr="0041547B">
              <w:rPr>
                <w:rFonts w:ascii="Book Antiqua" w:hAnsi="Book Antiqua"/>
                <w:sz w:val="20"/>
                <w:szCs w:val="20"/>
              </w:rPr>
              <w:t>-145</w:t>
            </w:r>
          </w:p>
          <w:p w14:paraId="3B6D4E51"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,80</w:t>
            </w:r>
          </w:p>
        </w:tc>
        <w:tc>
          <w:tcPr>
            <w:tcW w:w="930" w:type="dxa"/>
          </w:tcPr>
          <w:p w14:paraId="6B6248D9" w14:textId="77777777" w:rsidR="0027516C" w:rsidRPr="0041547B" w:rsidRDefault="00EE3EEC" w:rsidP="00EE3EEC">
            <w:pPr>
              <w:jc w:val="center"/>
              <w:rPr>
                <w:rFonts w:ascii="Book Antiqua" w:hAnsi="Book Antiqua"/>
                <w:sz w:val="20"/>
                <w:szCs w:val="20"/>
              </w:rPr>
            </w:pPr>
            <w:r w:rsidRPr="0041547B">
              <w:rPr>
                <w:rFonts w:ascii="Book Antiqua" w:hAnsi="Book Antiqua"/>
                <w:sz w:val="20"/>
                <w:szCs w:val="20"/>
              </w:rPr>
              <w:t>-144</w:t>
            </w:r>
          </w:p>
          <w:p w14:paraId="34919B5A"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,98</w:t>
            </w:r>
          </w:p>
        </w:tc>
      </w:tr>
      <w:tr w:rsidR="00EE3EEC" w:rsidRPr="0041547B" w14:paraId="3EC632A7" w14:textId="77777777" w:rsidTr="00EE3EEC">
        <w:tc>
          <w:tcPr>
            <w:tcW w:w="548" w:type="dxa"/>
          </w:tcPr>
          <w:p w14:paraId="46C54F9D"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9</w:t>
            </w:r>
          </w:p>
        </w:tc>
        <w:tc>
          <w:tcPr>
            <w:tcW w:w="1122" w:type="dxa"/>
          </w:tcPr>
          <w:p w14:paraId="1A8C1ED1"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2023</w:t>
            </w:r>
          </w:p>
        </w:tc>
        <w:tc>
          <w:tcPr>
            <w:tcW w:w="1057" w:type="dxa"/>
          </w:tcPr>
          <w:p w14:paraId="0C86F72B"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53,82</w:t>
            </w:r>
          </w:p>
        </w:tc>
        <w:tc>
          <w:tcPr>
            <w:tcW w:w="1094" w:type="dxa"/>
          </w:tcPr>
          <w:p w14:paraId="30C4EBC9"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3,34</w:t>
            </w:r>
          </w:p>
        </w:tc>
        <w:tc>
          <w:tcPr>
            <w:tcW w:w="1274" w:type="dxa"/>
          </w:tcPr>
          <w:p w14:paraId="0D965C95"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-140</w:t>
            </w:r>
          </w:p>
        </w:tc>
        <w:tc>
          <w:tcPr>
            <w:tcW w:w="1277" w:type="dxa"/>
          </w:tcPr>
          <w:p w14:paraId="5C6A7C7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-1,10</w:t>
            </w:r>
          </w:p>
        </w:tc>
        <w:tc>
          <w:tcPr>
            <w:tcW w:w="1011" w:type="dxa"/>
          </w:tcPr>
          <w:p w14:paraId="7C3503B7"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24,87</w:t>
            </w:r>
          </w:p>
        </w:tc>
        <w:tc>
          <w:tcPr>
            <w:tcW w:w="930" w:type="dxa"/>
          </w:tcPr>
          <w:p w14:paraId="18DC8FAD"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-29,93</w:t>
            </w:r>
          </w:p>
        </w:tc>
        <w:tc>
          <w:tcPr>
            <w:tcW w:w="930" w:type="dxa"/>
          </w:tcPr>
          <w:p w14:paraId="60808DA1"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-22,77</w:t>
            </w:r>
          </w:p>
        </w:tc>
      </w:tr>
      <w:tr w:rsidR="00EE3EEC" w:rsidRPr="0041547B" w14:paraId="6AD21662" w14:textId="77777777" w:rsidTr="00EE3EEC">
        <w:tc>
          <w:tcPr>
            <w:tcW w:w="548" w:type="dxa"/>
          </w:tcPr>
          <w:p w14:paraId="5492105A"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10</w:t>
            </w:r>
          </w:p>
        </w:tc>
        <w:tc>
          <w:tcPr>
            <w:tcW w:w="1122" w:type="dxa"/>
          </w:tcPr>
          <w:p w14:paraId="028A24D1"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2024</w:t>
            </w:r>
          </w:p>
        </w:tc>
        <w:tc>
          <w:tcPr>
            <w:tcW w:w="1057" w:type="dxa"/>
          </w:tcPr>
          <w:p w14:paraId="08B30A6B"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50,11</w:t>
            </w:r>
          </w:p>
        </w:tc>
        <w:tc>
          <w:tcPr>
            <w:tcW w:w="1094" w:type="dxa"/>
          </w:tcPr>
          <w:p w14:paraId="57A36FF5"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4,29</w:t>
            </w:r>
          </w:p>
        </w:tc>
        <w:tc>
          <w:tcPr>
            <w:tcW w:w="1274" w:type="dxa"/>
          </w:tcPr>
          <w:p w14:paraId="340AE69B"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4,53</w:t>
            </w:r>
          </w:p>
        </w:tc>
        <w:tc>
          <w:tcPr>
            <w:tcW w:w="1277" w:type="dxa"/>
          </w:tcPr>
          <w:p w14:paraId="213DA659"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4,23</w:t>
            </w:r>
          </w:p>
        </w:tc>
        <w:tc>
          <w:tcPr>
            <w:tcW w:w="1011" w:type="dxa"/>
          </w:tcPr>
          <w:p w14:paraId="5523563C"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24,53</w:t>
            </w:r>
          </w:p>
        </w:tc>
        <w:tc>
          <w:tcPr>
            <w:tcW w:w="930" w:type="dxa"/>
          </w:tcPr>
          <w:p w14:paraId="47B01496"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58,23</w:t>
            </w:r>
          </w:p>
        </w:tc>
        <w:tc>
          <w:tcPr>
            <w:tcW w:w="930" w:type="dxa"/>
          </w:tcPr>
          <w:p w14:paraId="4912A1B2"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65,90</w:t>
            </w:r>
          </w:p>
        </w:tc>
      </w:tr>
      <w:tr w:rsidR="00EE3EEC" w:rsidRPr="0041547B" w14:paraId="7603701C" w14:textId="77777777" w:rsidTr="00EE3EEC">
        <w:tc>
          <w:tcPr>
            <w:tcW w:w="548" w:type="dxa"/>
          </w:tcPr>
          <w:p w14:paraId="18B19CF3" w14:textId="77777777" w:rsidR="00242CC6" w:rsidRPr="0041547B" w:rsidRDefault="00242CC6" w:rsidP="00EE3EEC">
            <w:pPr>
              <w:jc w:val="center"/>
              <w:rPr>
                <w:rFonts w:ascii="Book Antiqua" w:hAnsi="Book Antiqua"/>
                <w:sz w:val="20"/>
                <w:szCs w:val="20"/>
              </w:rPr>
            </w:pPr>
          </w:p>
        </w:tc>
        <w:tc>
          <w:tcPr>
            <w:tcW w:w="1122" w:type="dxa"/>
          </w:tcPr>
          <w:p w14:paraId="70DEC6C1" w14:textId="77777777" w:rsidR="00242CC6" w:rsidRPr="0041547B" w:rsidRDefault="00242CC6" w:rsidP="00EE3EEC">
            <w:pPr>
              <w:jc w:val="center"/>
              <w:rPr>
                <w:rFonts w:ascii="Book Antiqua" w:hAnsi="Book Antiqua"/>
                <w:sz w:val="20"/>
                <w:szCs w:val="20"/>
              </w:rPr>
            </w:pPr>
            <w:proofErr w:type="spellStart"/>
            <w:r w:rsidRPr="0041547B">
              <w:rPr>
                <w:rFonts w:ascii="Book Antiqua" w:hAnsi="Book Antiqua"/>
                <w:sz w:val="20"/>
                <w:szCs w:val="20"/>
              </w:rPr>
              <w:t>Avarage</w:t>
            </w:r>
            <w:proofErr w:type="spellEnd"/>
          </w:p>
        </w:tc>
        <w:tc>
          <w:tcPr>
            <w:tcW w:w="1057" w:type="dxa"/>
          </w:tcPr>
          <w:p w14:paraId="2D7BC7F6" w14:textId="77777777" w:rsidR="00242CC6" w:rsidRPr="0041547B" w:rsidRDefault="00242CC6" w:rsidP="00EE3EEC">
            <w:pPr>
              <w:jc w:val="center"/>
              <w:rPr>
                <w:rFonts w:ascii="Book Antiqua" w:hAnsi="Book Antiqua"/>
                <w:sz w:val="20"/>
                <w:szCs w:val="20"/>
              </w:rPr>
            </w:pPr>
            <w:r w:rsidRPr="0041547B">
              <w:rPr>
                <w:rFonts w:ascii="Book Antiqua" w:hAnsi="Book Antiqua"/>
                <w:sz w:val="20"/>
                <w:szCs w:val="20"/>
              </w:rPr>
              <w:t>51,26</w:t>
            </w:r>
          </w:p>
        </w:tc>
        <w:tc>
          <w:tcPr>
            <w:tcW w:w="1094" w:type="dxa"/>
          </w:tcPr>
          <w:p w14:paraId="00B2E6F0"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-45,74</w:t>
            </w:r>
          </w:p>
        </w:tc>
        <w:tc>
          <w:tcPr>
            <w:tcW w:w="1274" w:type="dxa"/>
          </w:tcPr>
          <w:p w14:paraId="6A522C00"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-28,49</w:t>
            </w:r>
          </w:p>
        </w:tc>
        <w:tc>
          <w:tcPr>
            <w:tcW w:w="1277" w:type="dxa"/>
          </w:tcPr>
          <w:p w14:paraId="6D6ED949"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-2,24</w:t>
            </w:r>
          </w:p>
        </w:tc>
        <w:tc>
          <w:tcPr>
            <w:tcW w:w="1011" w:type="dxa"/>
          </w:tcPr>
          <w:p w14:paraId="5092B04B"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23,48</w:t>
            </w:r>
          </w:p>
        </w:tc>
        <w:tc>
          <w:tcPr>
            <w:tcW w:w="930" w:type="dxa"/>
          </w:tcPr>
          <w:p w14:paraId="268200F1"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-21,56</w:t>
            </w:r>
          </w:p>
        </w:tc>
        <w:tc>
          <w:tcPr>
            <w:tcW w:w="930" w:type="dxa"/>
          </w:tcPr>
          <w:p w14:paraId="646AF344" w14:textId="77777777" w:rsidR="00242CC6" w:rsidRPr="0041547B" w:rsidRDefault="00EE3EEC" w:rsidP="00EE3EEC">
            <w:pPr>
              <w:jc w:val="center"/>
              <w:rPr>
                <w:rFonts w:ascii="Book Antiqua" w:hAnsi="Book Antiqua"/>
                <w:sz w:val="20"/>
                <w:szCs w:val="20"/>
              </w:rPr>
            </w:pPr>
            <w:r w:rsidRPr="0041547B">
              <w:rPr>
                <w:rFonts w:ascii="Book Antiqua" w:hAnsi="Book Antiqua"/>
                <w:sz w:val="20"/>
                <w:szCs w:val="20"/>
              </w:rPr>
              <w:t>-22,38</w:t>
            </w:r>
          </w:p>
        </w:tc>
      </w:tr>
    </w:tbl>
    <w:p w14:paraId="7CF0DE66" w14:textId="77777777" w:rsidR="00242CC6" w:rsidRPr="002979FC" w:rsidRDefault="001708E1" w:rsidP="0041547B">
      <w:pPr>
        <w:spacing w:after="0" w:line="240" w:lineRule="auto"/>
        <w:rPr>
          <w:rFonts w:ascii="Book Antiqua" w:hAnsi="Book Antiqua"/>
          <w:sz w:val="24"/>
          <w:szCs w:val="24"/>
        </w:rPr>
      </w:pPr>
      <w:r w:rsidRPr="002979FC">
        <w:rPr>
          <w:rFonts w:ascii="Book Antiqua" w:hAnsi="Book Antiqua"/>
          <w:sz w:val="24"/>
          <w:szCs w:val="24"/>
        </w:rPr>
        <w:t xml:space="preserve">Source: Processed data from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Financial statements (2015-2024)</w:t>
      </w:r>
    </w:p>
    <w:p w14:paraId="3F90F58D" w14:textId="77777777" w:rsidR="0027516C" w:rsidRPr="002979FC" w:rsidRDefault="0027516C" w:rsidP="00371E89">
      <w:pPr>
        <w:spacing w:after="0" w:line="240" w:lineRule="auto"/>
        <w:jc w:val="both"/>
        <w:rPr>
          <w:rFonts w:ascii="Book Antiqua" w:hAnsi="Book Antiqua"/>
          <w:sz w:val="24"/>
          <w:szCs w:val="24"/>
        </w:rPr>
      </w:pPr>
      <w:r w:rsidRPr="002979FC">
        <w:rPr>
          <w:rFonts w:ascii="Book Antiqua" w:hAnsi="Book Antiqua"/>
          <w:noProof/>
          <w:sz w:val="24"/>
          <w:szCs w:val="24"/>
        </w:rPr>
        <w:lastRenderedPageBreak/>
        <w:drawing>
          <wp:inline distT="0" distB="0" distL="0" distR="0" wp14:anchorId="6F8B298C" wp14:editId="48C5C61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9FC062" w14:textId="04DB72BB" w:rsidR="007D5CB2" w:rsidRPr="002979FC" w:rsidRDefault="001708E1" w:rsidP="0041547B">
      <w:pPr>
        <w:spacing w:after="0" w:line="240" w:lineRule="auto"/>
        <w:jc w:val="center"/>
        <w:rPr>
          <w:rFonts w:ascii="Book Antiqua" w:hAnsi="Book Antiqua"/>
          <w:sz w:val="24"/>
          <w:szCs w:val="24"/>
        </w:rPr>
      </w:pPr>
      <w:r w:rsidRPr="002979FC">
        <w:rPr>
          <w:rFonts w:ascii="Book Antiqua" w:hAnsi="Book Antiqua"/>
          <w:sz w:val="24"/>
          <w:szCs w:val="24"/>
        </w:rPr>
        <w:t xml:space="preserve">Figure 4. Profitability Ratio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(2015-2024)</w:t>
      </w:r>
    </w:p>
    <w:p w14:paraId="1DA432D1" w14:textId="77777777" w:rsidR="000F0526" w:rsidRPr="002979FC" w:rsidRDefault="000F0526" w:rsidP="000F0526">
      <w:pPr>
        <w:spacing w:after="0" w:line="240" w:lineRule="auto"/>
        <w:jc w:val="both"/>
        <w:rPr>
          <w:rFonts w:ascii="Book Antiqua" w:hAnsi="Book Antiqua"/>
          <w:sz w:val="24"/>
          <w:szCs w:val="24"/>
        </w:rPr>
      </w:pPr>
      <w:r w:rsidRPr="002979FC">
        <w:rPr>
          <w:rFonts w:ascii="Book Antiqua" w:hAnsi="Book Antiqua"/>
          <w:sz w:val="24"/>
          <w:szCs w:val="24"/>
        </w:rPr>
        <w:tab/>
        <w:t xml:space="preserve">Table 4 shows the profitability ratios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during the 2015–2024 period. The Gross Profit Margin (GPM) remained relatively stable, averaging 51.26%, reflecting effective cost control at the production level. However, the Operating Profit Margin (OPM) and Net Profit Margin (NPM) experienced significant fluctuations, especially in 2020 and 2021, due to the COVID-19 pandemic’s impact on the tourism sector.</w:t>
      </w:r>
    </w:p>
    <w:p w14:paraId="3F3E2CC8" w14:textId="77777777" w:rsidR="000F0526" w:rsidRPr="002979FC" w:rsidRDefault="000F0526" w:rsidP="000F0526">
      <w:pPr>
        <w:spacing w:after="0" w:line="240" w:lineRule="auto"/>
        <w:jc w:val="both"/>
        <w:rPr>
          <w:rFonts w:ascii="Book Antiqua" w:hAnsi="Book Antiqua"/>
          <w:sz w:val="24"/>
          <w:szCs w:val="24"/>
        </w:rPr>
      </w:pPr>
      <w:r w:rsidRPr="002979FC">
        <w:rPr>
          <w:rFonts w:ascii="Book Antiqua" w:hAnsi="Book Antiqua"/>
          <w:sz w:val="24"/>
          <w:szCs w:val="24"/>
        </w:rPr>
        <w:tab/>
        <w:t>The Return on Investment (ROI/ROA) and Return on Equity (ROE) exhibited a similar pattern. While ROE maintained an average of 23.48%, showing shareholder profitability remained moderate, ROI/ROA averaged -2.24%, indicating inefficiency in asset utilization during economic downturns.</w:t>
      </w:r>
    </w:p>
    <w:p w14:paraId="4F48B89E" w14:textId="77777777" w:rsidR="000F0526" w:rsidRPr="002979FC" w:rsidRDefault="000F0526" w:rsidP="000F0526">
      <w:pPr>
        <w:spacing w:after="0" w:line="240" w:lineRule="auto"/>
        <w:jc w:val="both"/>
        <w:rPr>
          <w:rFonts w:ascii="Book Antiqua" w:hAnsi="Book Antiqua"/>
          <w:sz w:val="24"/>
          <w:szCs w:val="24"/>
        </w:rPr>
      </w:pPr>
      <w:r w:rsidRPr="002979FC">
        <w:rPr>
          <w:rFonts w:ascii="Book Antiqua" w:hAnsi="Book Antiqua"/>
          <w:sz w:val="24"/>
          <w:szCs w:val="24"/>
        </w:rPr>
        <w:tab/>
        <w:t>Moreover, both Earnings per Share (EPS) and Dividend per Share (DPS) recorded negative averages (-21.56 and -22.38, respectively), indicating reduced profitability and limited dividend distributions during the crisis years.</w:t>
      </w:r>
    </w:p>
    <w:p w14:paraId="278E00E0" w14:textId="49BFE995" w:rsidR="007D5CB2" w:rsidRPr="002979FC" w:rsidRDefault="000F0526" w:rsidP="00371E89">
      <w:pPr>
        <w:spacing w:after="0" w:line="240" w:lineRule="auto"/>
        <w:jc w:val="both"/>
        <w:rPr>
          <w:rFonts w:ascii="Book Antiqua" w:hAnsi="Book Antiqua"/>
          <w:sz w:val="24"/>
          <w:szCs w:val="24"/>
        </w:rPr>
      </w:pPr>
      <w:r w:rsidRPr="002979FC">
        <w:rPr>
          <w:rFonts w:ascii="Book Antiqua" w:hAnsi="Book Antiqua"/>
          <w:sz w:val="24"/>
          <w:szCs w:val="24"/>
        </w:rPr>
        <w:tab/>
        <w:t>Nevertheless, improvements in 2023 and 2024 demonstrate gradual recovery as the company adapted to post-pandemic conditions. These findings highlight the importance of operational efficiency, financial resilience, and strategic adaptability to sustain profitability in the tourism industry.</w:t>
      </w:r>
    </w:p>
    <w:p w14:paraId="3E4655DE" w14:textId="77777777" w:rsidR="00B65476" w:rsidRPr="002979FC" w:rsidRDefault="00B65476" w:rsidP="00371E89">
      <w:pPr>
        <w:spacing w:after="0" w:line="240" w:lineRule="auto"/>
        <w:jc w:val="both"/>
        <w:rPr>
          <w:rFonts w:ascii="Book Antiqua" w:hAnsi="Book Antiqua"/>
          <w:sz w:val="24"/>
          <w:szCs w:val="24"/>
        </w:rPr>
      </w:pPr>
    </w:p>
    <w:p w14:paraId="2B590422" w14:textId="3EECB909" w:rsidR="00F31875" w:rsidRPr="00FA3138" w:rsidRDefault="0041547B" w:rsidP="00F31875">
      <w:pPr>
        <w:spacing w:after="0" w:line="240" w:lineRule="auto"/>
        <w:jc w:val="both"/>
        <w:rPr>
          <w:rFonts w:ascii="Book Antiqua" w:hAnsi="Book Antiqua"/>
          <w:b/>
          <w:sz w:val="24"/>
          <w:szCs w:val="24"/>
        </w:rPr>
      </w:pPr>
      <w:r w:rsidRPr="002979FC">
        <w:rPr>
          <w:rFonts w:ascii="Book Antiqua" w:hAnsi="Book Antiqua"/>
          <w:b/>
          <w:sz w:val="24"/>
          <w:szCs w:val="24"/>
        </w:rPr>
        <w:t>Discussion</w:t>
      </w:r>
    </w:p>
    <w:p w14:paraId="11006811"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The findings of this study provide a comprehensive overview of the financial performance of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during the 2015–2024 period, as analyzed through liquidity, solvency, activity, and profitability ratios. The results are consistent with the research objectives, which aimed to assess how financial ratios reflect the company’s financial condition and performance over time.</w:t>
      </w:r>
    </w:p>
    <w:p w14:paraId="57A5143D"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The liquidity ratios indicate that the company maintained a strong position in meeting its short-term obligations, particularly in 2021 when both the Current Ratio </w:t>
      </w:r>
      <w:r w:rsidRPr="002979FC">
        <w:rPr>
          <w:rFonts w:ascii="Book Antiqua" w:hAnsi="Book Antiqua"/>
          <w:sz w:val="24"/>
          <w:szCs w:val="24"/>
        </w:rPr>
        <w:lastRenderedPageBreak/>
        <w:t>and Quick Ratio reached their highest values. This aligns with Kasmir’s (2019) theoretical perspective, which suggests that a high liquidity ratio reflects good short-term financial management. The company’s ability to preserve cash reserves during the COVID-19 pandemic further demonstrates sound financial prudence and resilience under economic uncertainty.</w:t>
      </w:r>
    </w:p>
    <w:p w14:paraId="73064D9C"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The solvency ratios reveal notable fluctuations throughout the ten-year period. The decline in the Debt to Equity Ratio (DER) and the improvement in the Equity Ratio in recent years indicate stronger capital structure management and reduced dependency on external financing. This finding is in line with Putra (2020), who emphasized that an optimal solvency level enhances financial stability and long-term sustainability. However, negative Times Interest Earned Ratios (TIER) during 2020–2021 highlight the impact of global crises on the company’s ability to cover interest expenses, confirming that macroeconomic shocks significantly affect financial sustainability in the tourism industry.</w:t>
      </w:r>
    </w:p>
    <w:p w14:paraId="53DC57A0"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The activity ratios show that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experienced fluctuating efficiency in asset utilization. Although cash and receivable turnover ratios improved toward the end of the period, the overall inconsistency reflects challenges in maintaining operational efficiency. These findings reinforce the observations of Sari and </w:t>
      </w:r>
      <w:proofErr w:type="spellStart"/>
      <w:r w:rsidRPr="002979FC">
        <w:rPr>
          <w:rFonts w:ascii="Book Antiqua" w:hAnsi="Book Antiqua"/>
          <w:sz w:val="24"/>
          <w:szCs w:val="24"/>
        </w:rPr>
        <w:t>Rachmawati</w:t>
      </w:r>
      <w:proofErr w:type="spellEnd"/>
      <w:r w:rsidRPr="002979FC">
        <w:rPr>
          <w:rFonts w:ascii="Book Antiqua" w:hAnsi="Book Antiqua"/>
          <w:sz w:val="24"/>
          <w:szCs w:val="24"/>
        </w:rPr>
        <w:t xml:space="preserve"> (2021), who concluded that activity efficiency is crucial to maintaining profitability, particularly in dynamic industries like tourism and retail. The gradual recovery in 2023–2024 indicates that the company successfully adjusted its operational strategy after the pandemic.</w:t>
      </w:r>
    </w:p>
    <w:p w14:paraId="471A7C00" w14:textId="77777777" w:rsidR="00C33F7A"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The profitability ratios provide further evidence of the company’s adaptive capacity. Despite experiencing losses in 2020–2021, the steady improvement in 2023–2024 demonstrates that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managed to restore profitability through cost control, diversification, and strategic alliances. This finding aligns with the theoretical framework suggesting that profitability ratios reflect the company’s ability to generate profits relative to sales, assets, and equity. The recovery phase also supports the hypothesis that financial ratio analysis can capture a company’s resilience and long</w:t>
      </w:r>
      <w:r w:rsidR="00C56326">
        <w:rPr>
          <w:rFonts w:ascii="Book Antiqua" w:hAnsi="Book Antiqua"/>
          <w:sz w:val="24"/>
          <w:szCs w:val="24"/>
        </w:rPr>
        <w:t>-term value creation potential.</w:t>
      </w:r>
    </w:p>
    <w:p w14:paraId="5E13F4E6" w14:textId="77777777" w:rsidR="00F31875" w:rsidRPr="002979FC" w:rsidRDefault="00C33F7A" w:rsidP="00F31875">
      <w:pPr>
        <w:spacing w:after="0" w:line="240" w:lineRule="auto"/>
        <w:jc w:val="both"/>
        <w:rPr>
          <w:rFonts w:ascii="Book Antiqua" w:hAnsi="Book Antiqua"/>
          <w:sz w:val="24"/>
          <w:szCs w:val="24"/>
        </w:rPr>
      </w:pPr>
      <w:r>
        <w:rPr>
          <w:rFonts w:ascii="Book Antiqua" w:hAnsi="Book Antiqua"/>
          <w:sz w:val="24"/>
          <w:szCs w:val="24"/>
        </w:rPr>
        <w:tab/>
      </w:r>
      <w:r w:rsidR="00F31875" w:rsidRPr="002979FC">
        <w:rPr>
          <w:rFonts w:ascii="Book Antiqua" w:hAnsi="Book Antiqua"/>
          <w:sz w:val="24"/>
          <w:szCs w:val="24"/>
        </w:rPr>
        <w:t>From a scientific perspective, this study reinforces the relevance of financial ratio analysis as a diagnostic tool for evaluating financial performance. The consistency of these results with previous studies validates the theoretical assumptions used and contributes to the empirical literature on financial analysis in the tourism sector.</w:t>
      </w:r>
    </w:p>
    <w:p w14:paraId="3EA700C9"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From a practical perspective, the study highlights the importance of maintaining liquidity and solvency during economic disruptions. The findings suggest that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should continue implementing efficient asset utilization strategies and strengthen equity-based financing to minimize financial risk exposure.</w:t>
      </w:r>
    </w:p>
    <w:p w14:paraId="27D5E1B5"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This study’s contribution lies in providing an integrated financial performance evaluation of a tourism-based company over a ten-year period, combining pre-pandemic, pandemic, and post-pandemic data. Such long-term analysis offers </w:t>
      </w:r>
      <w:r w:rsidRPr="002979FC">
        <w:rPr>
          <w:rFonts w:ascii="Book Antiqua" w:hAnsi="Book Antiqua"/>
          <w:sz w:val="24"/>
          <w:szCs w:val="24"/>
        </w:rPr>
        <w:lastRenderedPageBreak/>
        <w:t>valuable insights for financial managers, investors, and policymakers regarding the resilience of tourism-related enterprises.</w:t>
      </w:r>
    </w:p>
    <w:p w14:paraId="5340A98E" w14:textId="77777777" w:rsidR="00B65476"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However, this research also has limitations, particularly because it relies solely on secondary data from published financial reports. Qualitative factors such as management policies, market competition, and customer behavior were not examined. Future research is recommended to include qualitative analyses or comparative studies with other tourism companies to obtain a more comprehensive understanding of financial performance dynamics in the sector.</w:t>
      </w:r>
    </w:p>
    <w:p w14:paraId="72B58D64" w14:textId="77777777" w:rsidR="00F31875" w:rsidRPr="002979FC" w:rsidRDefault="00F31875" w:rsidP="00B80678">
      <w:pPr>
        <w:spacing w:after="0" w:line="240" w:lineRule="auto"/>
        <w:jc w:val="both"/>
        <w:rPr>
          <w:rFonts w:ascii="Book Antiqua" w:hAnsi="Book Antiqua"/>
          <w:sz w:val="24"/>
          <w:szCs w:val="24"/>
        </w:rPr>
      </w:pPr>
    </w:p>
    <w:p w14:paraId="39FE293E" w14:textId="4CE819DF" w:rsidR="00F31875" w:rsidRPr="002979FC" w:rsidRDefault="0041547B" w:rsidP="00F31875">
      <w:pPr>
        <w:spacing w:after="0" w:line="240" w:lineRule="auto"/>
        <w:jc w:val="both"/>
        <w:rPr>
          <w:rFonts w:ascii="Book Antiqua" w:hAnsi="Book Antiqua"/>
          <w:b/>
          <w:sz w:val="24"/>
          <w:szCs w:val="24"/>
        </w:rPr>
      </w:pPr>
      <w:r w:rsidRPr="002979FC">
        <w:rPr>
          <w:rFonts w:ascii="Book Antiqua" w:hAnsi="Book Antiqua"/>
          <w:b/>
          <w:sz w:val="24"/>
          <w:szCs w:val="24"/>
        </w:rPr>
        <w:t>Conclusion</w:t>
      </w:r>
    </w:p>
    <w:p w14:paraId="6681095C"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The analysis of financial ratios conducted on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for the 2015–2024 period provides a comprehensive understanding of the company’s financial performance and strategic resilience within the tourism industry. The study reveals that the company maintained strong liquidity and gradually improved its solvency position, reflecting prudent financial management and effective capital structure adjustments. The activity ratios demonstrated fluctuating efficiency in asset utilization, while profitability ratios indicated that the company successfully recovered from the financial downturn caused by the COVID-19 pandemic.</w:t>
      </w:r>
    </w:p>
    <w:p w14:paraId="7F510674"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These findings confirm that financial ratio analysis serves as a reliable tool to evaluate company performance and financial health, consistent with the theoretical framework of Kasmir (2019) and the empirical evidence from previous studies. Scientifically, the research contributes to the literature by offering a longitudinal financial evaluation that covers pre-pandemic, pandemic, and post-pandemic periods in the tourism and retail sectors. Practically, the results can guide financial managers, investors, and policymakers in formulating strategies to strengthen liquidity, reduce debt dependency, and enhance operational efficiency.</w:t>
      </w:r>
    </w:p>
    <w:p w14:paraId="39AA127E" w14:textId="24DE840B" w:rsidR="00C56326"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However, this study is limited by its reliance on secondary data from published financial statements, which do not capture qualitative aspects such as managerial decisions, customer behavior, or market competition. Therefore, future research is recommended to combine quantitative and qualitative approaches or perform comparative analyses with other tourism-based companies to provide a more comprehensive understanding of financial performance dynamics.</w:t>
      </w:r>
    </w:p>
    <w:p w14:paraId="6E2E55FE" w14:textId="077C61C8" w:rsidR="00F31875" w:rsidRPr="002979FC" w:rsidRDefault="00C56326" w:rsidP="00F31875">
      <w:pPr>
        <w:spacing w:after="0" w:line="240" w:lineRule="auto"/>
        <w:jc w:val="both"/>
        <w:rPr>
          <w:rFonts w:ascii="Book Antiqua" w:hAnsi="Book Antiqua"/>
          <w:sz w:val="24"/>
          <w:szCs w:val="24"/>
        </w:rPr>
      </w:pPr>
      <w:r>
        <w:rPr>
          <w:rFonts w:ascii="Book Antiqua" w:hAnsi="Book Antiqua"/>
          <w:sz w:val="24"/>
          <w:szCs w:val="24"/>
        </w:rPr>
        <w:tab/>
      </w:r>
      <w:r w:rsidR="00F31875" w:rsidRPr="002979FC">
        <w:rPr>
          <w:rFonts w:ascii="Book Antiqua" w:hAnsi="Book Antiqua"/>
          <w:sz w:val="24"/>
          <w:szCs w:val="24"/>
        </w:rPr>
        <w:t xml:space="preserve">Overall, the study concludes that PT Sona </w:t>
      </w:r>
      <w:proofErr w:type="spellStart"/>
      <w:r w:rsidR="00F31875" w:rsidRPr="002979FC">
        <w:rPr>
          <w:rFonts w:ascii="Book Antiqua" w:hAnsi="Book Antiqua"/>
          <w:sz w:val="24"/>
          <w:szCs w:val="24"/>
        </w:rPr>
        <w:t>Topas</w:t>
      </w:r>
      <w:proofErr w:type="spellEnd"/>
      <w:r w:rsidR="00F31875" w:rsidRPr="002979FC">
        <w:rPr>
          <w:rFonts w:ascii="Book Antiqua" w:hAnsi="Book Antiqua"/>
          <w:sz w:val="24"/>
          <w:szCs w:val="24"/>
        </w:rPr>
        <w:t xml:space="preserve"> Tourism Industry </w:t>
      </w:r>
      <w:proofErr w:type="spellStart"/>
      <w:r w:rsidR="00F31875" w:rsidRPr="002979FC">
        <w:rPr>
          <w:rFonts w:ascii="Book Antiqua" w:hAnsi="Book Antiqua"/>
          <w:sz w:val="24"/>
          <w:szCs w:val="24"/>
        </w:rPr>
        <w:t>Tbk</w:t>
      </w:r>
      <w:proofErr w:type="spellEnd"/>
      <w:r w:rsidR="00F31875" w:rsidRPr="002979FC">
        <w:rPr>
          <w:rFonts w:ascii="Book Antiqua" w:hAnsi="Book Antiqua"/>
          <w:sz w:val="24"/>
          <w:szCs w:val="24"/>
        </w:rPr>
        <w:t xml:space="preserve"> has demonstrated financial adaptability and resilience in facing economic challenges. The continuous improvement in financial ratios, particularly after 2021, reflects the company’s ability to recover and sustain long-term growth in the evolving global tourism environment.</w:t>
      </w:r>
    </w:p>
    <w:p w14:paraId="02A5D289" w14:textId="77777777" w:rsidR="00C33F7A" w:rsidRDefault="00C33F7A" w:rsidP="00F31875">
      <w:pPr>
        <w:spacing w:after="0" w:line="240" w:lineRule="auto"/>
        <w:jc w:val="both"/>
        <w:rPr>
          <w:rFonts w:ascii="Book Antiqua" w:hAnsi="Book Antiqua"/>
          <w:sz w:val="24"/>
          <w:szCs w:val="24"/>
        </w:rPr>
      </w:pPr>
    </w:p>
    <w:p w14:paraId="2E8A7C8E" w14:textId="3434EF6C" w:rsidR="00F31875" w:rsidRPr="00FA3138" w:rsidRDefault="0041547B" w:rsidP="00F31875">
      <w:pPr>
        <w:spacing w:after="0" w:line="240" w:lineRule="auto"/>
        <w:jc w:val="both"/>
        <w:rPr>
          <w:rFonts w:ascii="Book Antiqua" w:hAnsi="Book Antiqua"/>
          <w:b/>
          <w:sz w:val="24"/>
          <w:szCs w:val="24"/>
        </w:rPr>
      </w:pPr>
      <w:r w:rsidRPr="00C56326">
        <w:rPr>
          <w:rFonts w:ascii="Book Antiqua" w:hAnsi="Book Antiqua"/>
          <w:b/>
          <w:sz w:val="24"/>
          <w:szCs w:val="24"/>
        </w:rPr>
        <w:t>Acknowledgment</w:t>
      </w:r>
    </w:p>
    <w:p w14:paraId="11D92291"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The author would like to express sincere gratitude to all parties who have provided valuable support in the completion of this research. Special appreciation is extended to Mrs. Jeni Irnawati, S.E., M.M., the Research Methodology lecturer, for her </w:t>
      </w:r>
      <w:r w:rsidRPr="002979FC">
        <w:rPr>
          <w:rFonts w:ascii="Book Antiqua" w:hAnsi="Book Antiqua"/>
          <w:sz w:val="24"/>
          <w:szCs w:val="24"/>
        </w:rPr>
        <w:lastRenderedPageBreak/>
        <w:t>continuous guidance, constructive feedback, and encouragement throughout the preparation of this study.</w:t>
      </w:r>
    </w:p>
    <w:p w14:paraId="520FCA06" w14:textId="77777777" w:rsidR="00F31875" w:rsidRPr="002979FC"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 xml:space="preserve">The author also wishes to thank 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for providing access to the company’s financial statements for the 2015–2024 period, which served as the primary data source in this analysis. Deep appreciation is also given to the author’s family and colleagues for their moral support, motivation, and understanding during the research process.</w:t>
      </w:r>
    </w:p>
    <w:p w14:paraId="42C62E9B" w14:textId="77777777" w:rsidR="00027163" w:rsidRDefault="00F31875" w:rsidP="00F31875">
      <w:pPr>
        <w:spacing w:after="0" w:line="240" w:lineRule="auto"/>
        <w:jc w:val="both"/>
        <w:rPr>
          <w:rFonts w:ascii="Book Antiqua" w:hAnsi="Book Antiqua"/>
          <w:sz w:val="24"/>
          <w:szCs w:val="24"/>
        </w:rPr>
      </w:pPr>
      <w:r w:rsidRPr="002979FC">
        <w:rPr>
          <w:rFonts w:ascii="Book Antiqua" w:hAnsi="Book Antiqua"/>
          <w:sz w:val="24"/>
          <w:szCs w:val="24"/>
        </w:rPr>
        <w:tab/>
        <w:t>This research is expected to contribute to the advancement of knowledge, particularly in the field of financial performance and corporate financial management analysis. The author welcomes any constructive suggestions and feedback for the</w:t>
      </w:r>
      <w:r w:rsidR="00C56326">
        <w:rPr>
          <w:rFonts w:ascii="Book Antiqua" w:hAnsi="Book Antiqua"/>
          <w:sz w:val="24"/>
          <w:szCs w:val="24"/>
        </w:rPr>
        <w:t xml:space="preserve"> improvement of future studies.</w:t>
      </w:r>
    </w:p>
    <w:p w14:paraId="47F6D5C3" w14:textId="77777777" w:rsidR="00C56326" w:rsidRDefault="00C56326" w:rsidP="00F31875">
      <w:pPr>
        <w:spacing w:after="0" w:line="240" w:lineRule="auto"/>
        <w:jc w:val="both"/>
        <w:rPr>
          <w:rFonts w:ascii="Book Antiqua" w:hAnsi="Book Antiqua"/>
          <w:sz w:val="24"/>
          <w:szCs w:val="24"/>
        </w:rPr>
      </w:pPr>
    </w:p>
    <w:p w14:paraId="4EB71B7B" w14:textId="65476B27" w:rsidR="00D3574D" w:rsidRPr="0030038C" w:rsidRDefault="0041547B" w:rsidP="0041547B">
      <w:pPr>
        <w:spacing w:after="0" w:line="240" w:lineRule="auto"/>
        <w:jc w:val="both"/>
        <w:rPr>
          <w:rFonts w:ascii="Book Antiqua" w:hAnsi="Book Antiqua"/>
          <w:b/>
          <w:sz w:val="24"/>
          <w:szCs w:val="24"/>
        </w:rPr>
      </w:pPr>
      <w:r w:rsidRPr="002979FC">
        <w:rPr>
          <w:rFonts w:ascii="Book Antiqua" w:hAnsi="Book Antiqua"/>
          <w:b/>
          <w:sz w:val="24"/>
          <w:szCs w:val="24"/>
        </w:rPr>
        <w:t>References</w:t>
      </w:r>
    </w:p>
    <w:p w14:paraId="3AECEC58" w14:textId="64D54B12" w:rsidR="00D3574D" w:rsidRPr="002979FC" w:rsidRDefault="00D3574D" w:rsidP="0041547B">
      <w:pPr>
        <w:spacing w:after="0" w:line="240" w:lineRule="auto"/>
        <w:ind w:left="720" w:hanging="720"/>
        <w:jc w:val="both"/>
        <w:rPr>
          <w:rFonts w:ascii="Book Antiqua" w:hAnsi="Book Antiqua"/>
          <w:sz w:val="24"/>
          <w:szCs w:val="24"/>
        </w:rPr>
      </w:pPr>
      <w:r w:rsidRPr="002979FC">
        <w:rPr>
          <w:rFonts w:ascii="Book Antiqua" w:hAnsi="Book Antiqua"/>
          <w:sz w:val="24"/>
          <w:szCs w:val="24"/>
        </w:rPr>
        <w:t xml:space="preserve">Kasmir. (2019). </w:t>
      </w:r>
      <w:proofErr w:type="spellStart"/>
      <w:r w:rsidRPr="002979FC">
        <w:rPr>
          <w:rFonts w:ascii="Book Antiqua" w:hAnsi="Book Antiqua"/>
          <w:i/>
          <w:sz w:val="24"/>
          <w:szCs w:val="24"/>
        </w:rPr>
        <w:t>Analisis</w:t>
      </w:r>
      <w:proofErr w:type="spellEnd"/>
      <w:r w:rsidRPr="002979FC">
        <w:rPr>
          <w:rFonts w:ascii="Book Antiqua" w:hAnsi="Book Antiqua"/>
          <w:i/>
          <w:sz w:val="24"/>
          <w:szCs w:val="24"/>
        </w:rPr>
        <w:t xml:space="preserve"> </w:t>
      </w:r>
      <w:proofErr w:type="spellStart"/>
      <w:r w:rsidRPr="002979FC">
        <w:rPr>
          <w:rFonts w:ascii="Book Antiqua" w:hAnsi="Book Antiqua"/>
          <w:i/>
          <w:sz w:val="24"/>
          <w:szCs w:val="24"/>
        </w:rPr>
        <w:t>laporan</w:t>
      </w:r>
      <w:proofErr w:type="spellEnd"/>
      <w:r w:rsidRPr="002979FC">
        <w:rPr>
          <w:rFonts w:ascii="Book Antiqua" w:hAnsi="Book Antiqua"/>
          <w:i/>
          <w:sz w:val="24"/>
          <w:szCs w:val="24"/>
        </w:rPr>
        <w:t xml:space="preserve"> </w:t>
      </w:r>
      <w:proofErr w:type="spellStart"/>
      <w:r w:rsidRPr="002979FC">
        <w:rPr>
          <w:rFonts w:ascii="Book Antiqua" w:hAnsi="Book Antiqua"/>
          <w:i/>
          <w:sz w:val="24"/>
          <w:szCs w:val="24"/>
        </w:rPr>
        <w:t>keuangan</w:t>
      </w:r>
      <w:proofErr w:type="spellEnd"/>
      <w:r w:rsidRPr="002979FC">
        <w:rPr>
          <w:rFonts w:ascii="Book Antiqua" w:hAnsi="Book Antiqua"/>
          <w:sz w:val="24"/>
          <w:szCs w:val="24"/>
        </w:rPr>
        <w:t xml:space="preserve"> (12th ed.). </w:t>
      </w:r>
      <w:proofErr w:type="spellStart"/>
      <w:r w:rsidRPr="002979FC">
        <w:rPr>
          <w:rFonts w:ascii="Book Antiqua" w:hAnsi="Book Antiqua"/>
          <w:sz w:val="24"/>
          <w:szCs w:val="24"/>
        </w:rPr>
        <w:t>Rajawali</w:t>
      </w:r>
      <w:proofErr w:type="spellEnd"/>
      <w:r w:rsidRPr="002979FC">
        <w:rPr>
          <w:rFonts w:ascii="Book Antiqua" w:hAnsi="Book Antiqua"/>
          <w:sz w:val="24"/>
          <w:szCs w:val="24"/>
        </w:rPr>
        <w:t xml:space="preserve"> Pers.</w:t>
      </w:r>
    </w:p>
    <w:p w14:paraId="13E7BFFC" w14:textId="278CEFB9" w:rsidR="00D3574D" w:rsidRPr="002979FC" w:rsidRDefault="00D3574D" w:rsidP="0041547B">
      <w:pPr>
        <w:spacing w:after="0" w:line="240" w:lineRule="auto"/>
        <w:ind w:left="720" w:hanging="720"/>
        <w:jc w:val="both"/>
        <w:rPr>
          <w:rFonts w:ascii="Book Antiqua" w:hAnsi="Book Antiqua"/>
          <w:sz w:val="24"/>
          <w:szCs w:val="24"/>
        </w:rPr>
      </w:pPr>
      <w:r w:rsidRPr="002979FC">
        <w:rPr>
          <w:rFonts w:ascii="Book Antiqua" w:hAnsi="Book Antiqua"/>
          <w:sz w:val="24"/>
          <w:szCs w:val="24"/>
        </w:rPr>
        <w:t xml:space="preserve">Kotler, P., </w:t>
      </w:r>
      <w:proofErr w:type="spellStart"/>
      <w:r w:rsidRPr="002979FC">
        <w:rPr>
          <w:rFonts w:ascii="Book Antiqua" w:hAnsi="Book Antiqua"/>
          <w:sz w:val="24"/>
          <w:szCs w:val="24"/>
        </w:rPr>
        <w:t>Kartajaya</w:t>
      </w:r>
      <w:proofErr w:type="spellEnd"/>
      <w:r w:rsidRPr="002979FC">
        <w:rPr>
          <w:rFonts w:ascii="Book Antiqua" w:hAnsi="Book Antiqua"/>
          <w:sz w:val="24"/>
          <w:szCs w:val="24"/>
        </w:rPr>
        <w:t xml:space="preserve">, H., &amp; Setiawan, I. (2021). </w:t>
      </w:r>
      <w:r w:rsidRPr="002979FC">
        <w:rPr>
          <w:rFonts w:ascii="Book Antiqua" w:hAnsi="Book Antiqua"/>
          <w:i/>
          <w:sz w:val="24"/>
          <w:szCs w:val="24"/>
        </w:rPr>
        <w:t>Marketing 5.0</w:t>
      </w:r>
      <w:r w:rsidRPr="002979FC">
        <w:rPr>
          <w:rFonts w:ascii="Book Antiqua" w:hAnsi="Book Antiqua"/>
          <w:sz w:val="24"/>
          <w:szCs w:val="24"/>
        </w:rPr>
        <w:t xml:space="preserve">: </w:t>
      </w:r>
      <w:r w:rsidRPr="002979FC">
        <w:rPr>
          <w:rFonts w:ascii="Book Antiqua" w:hAnsi="Book Antiqua"/>
          <w:i/>
          <w:sz w:val="24"/>
          <w:szCs w:val="24"/>
        </w:rPr>
        <w:t>Technology for humanity.</w:t>
      </w:r>
      <w:r w:rsidRPr="002979FC">
        <w:rPr>
          <w:rFonts w:ascii="Book Antiqua" w:hAnsi="Book Antiqua"/>
          <w:sz w:val="24"/>
          <w:szCs w:val="24"/>
        </w:rPr>
        <w:t xml:space="preserve"> John Wiley &amp; Sons.</w:t>
      </w:r>
    </w:p>
    <w:p w14:paraId="3685ED03" w14:textId="6DD1E00B" w:rsidR="00D3574D" w:rsidRPr="002979FC" w:rsidRDefault="00D3574D" w:rsidP="0041547B">
      <w:pPr>
        <w:spacing w:after="0" w:line="240" w:lineRule="auto"/>
        <w:ind w:left="720" w:hanging="720"/>
        <w:jc w:val="both"/>
        <w:rPr>
          <w:rFonts w:ascii="Book Antiqua" w:hAnsi="Book Antiqua"/>
          <w:sz w:val="24"/>
          <w:szCs w:val="24"/>
        </w:rPr>
      </w:pPr>
      <w:r w:rsidRPr="002979FC">
        <w:rPr>
          <w:rFonts w:ascii="Book Antiqua" w:hAnsi="Book Antiqua"/>
          <w:sz w:val="24"/>
          <w:szCs w:val="24"/>
        </w:rPr>
        <w:t xml:space="preserve">PT Sona </w:t>
      </w:r>
      <w:proofErr w:type="spellStart"/>
      <w:r w:rsidRPr="002979FC">
        <w:rPr>
          <w:rFonts w:ascii="Book Antiqua" w:hAnsi="Book Antiqua"/>
          <w:sz w:val="24"/>
          <w:szCs w:val="24"/>
        </w:rPr>
        <w:t>Topas</w:t>
      </w:r>
      <w:proofErr w:type="spellEnd"/>
      <w:r w:rsidRPr="002979FC">
        <w:rPr>
          <w:rFonts w:ascii="Book Antiqua" w:hAnsi="Book Antiqua"/>
          <w:sz w:val="24"/>
          <w:szCs w:val="24"/>
        </w:rPr>
        <w:t xml:space="preserve"> Tourism Industry </w:t>
      </w:r>
      <w:proofErr w:type="spellStart"/>
      <w:r w:rsidRPr="002979FC">
        <w:rPr>
          <w:rFonts w:ascii="Book Antiqua" w:hAnsi="Book Antiqua"/>
          <w:sz w:val="24"/>
          <w:szCs w:val="24"/>
        </w:rPr>
        <w:t>Tbk</w:t>
      </w:r>
      <w:proofErr w:type="spellEnd"/>
      <w:r w:rsidRPr="002979FC">
        <w:rPr>
          <w:rFonts w:ascii="Book Antiqua" w:hAnsi="Book Antiqua"/>
          <w:sz w:val="24"/>
          <w:szCs w:val="24"/>
        </w:rPr>
        <w:t xml:space="preserve">. (2015–2024). </w:t>
      </w:r>
      <w:r w:rsidRPr="002979FC">
        <w:rPr>
          <w:rFonts w:ascii="Book Antiqua" w:hAnsi="Book Antiqua"/>
          <w:i/>
          <w:sz w:val="24"/>
          <w:szCs w:val="24"/>
        </w:rPr>
        <w:t>Annual reports and financial statements (2015–2024).</w:t>
      </w:r>
      <w:r w:rsidRPr="002979FC">
        <w:rPr>
          <w:rFonts w:ascii="Book Antiqua" w:hAnsi="Book Antiqua"/>
          <w:sz w:val="24"/>
          <w:szCs w:val="24"/>
        </w:rPr>
        <w:t xml:space="preserve"> Indonesia Stock Exchange (IDX). Retrieved from www.idx.co.id</w:t>
      </w:r>
    </w:p>
    <w:p w14:paraId="6A9E0AEF" w14:textId="65ADDA96" w:rsidR="00D3574D" w:rsidRPr="002979FC" w:rsidRDefault="00D3574D" w:rsidP="0041547B">
      <w:pPr>
        <w:spacing w:after="0" w:line="240" w:lineRule="auto"/>
        <w:ind w:left="720" w:hanging="720"/>
        <w:jc w:val="both"/>
        <w:rPr>
          <w:rFonts w:ascii="Book Antiqua" w:hAnsi="Book Antiqua"/>
          <w:sz w:val="24"/>
          <w:szCs w:val="24"/>
        </w:rPr>
      </w:pPr>
      <w:r w:rsidRPr="002979FC">
        <w:rPr>
          <w:rFonts w:ascii="Book Antiqua" w:hAnsi="Book Antiqua"/>
          <w:sz w:val="24"/>
          <w:szCs w:val="24"/>
        </w:rPr>
        <w:t xml:space="preserve">Putra, A. G. (2020). The effect of solvency and activity ratios on financial performance of manufacturing companies listed on the Indonesia Stock Exchange. </w:t>
      </w:r>
      <w:proofErr w:type="spellStart"/>
      <w:r w:rsidRPr="002979FC">
        <w:rPr>
          <w:rFonts w:ascii="Book Antiqua" w:hAnsi="Book Antiqua"/>
          <w:i/>
          <w:sz w:val="24"/>
          <w:szCs w:val="24"/>
        </w:rPr>
        <w:t>Jurnal</w:t>
      </w:r>
      <w:proofErr w:type="spellEnd"/>
      <w:r w:rsidRPr="002979FC">
        <w:rPr>
          <w:rFonts w:ascii="Book Antiqua" w:hAnsi="Book Antiqua"/>
          <w:i/>
          <w:sz w:val="24"/>
          <w:szCs w:val="24"/>
        </w:rPr>
        <w:t xml:space="preserve"> </w:t>
      </w:r>
      <w:proofErr w:type="spellStart"/>
      <w:r w:rsidRPr="002979FC">
        <w:rPr>
          <w:rFonts w:ascii="Book Antiqua" w:hAnsi="Book Antiqua"/>
          <w:i/>
          <w:sz w:val="24"/>
          <w:szCs w:val="24"/>
        </w:rPr>
        <w:t>Ilmu</w:t>
      </w:r>
      <w:proofErr w:type="spellEnd"/>
      <w:r w:rsidRPr="002979FC">
        <w:rPr>
          <w:rFonts w:ascii="Book Antiqua" w:hAnsi="Book Antiqua"/>
          <w:i/>
          <w:sz w:val="24"/>
          <w:szCs w:val="24"/>
        </w:rPr>
        <w:t xml:space="preserve"> dan </w:t>
      </w:r>
      <w:proofErr w:type="spellStart"/>
      <w:r w:rsidRPr="002979FC">
        <w:rPr>
          <w:rFonts w:ascii="Book Antiqua" w:hAnsi="Book Antiqua"/>
          <w:i/>
          <w:sz w:val="24"/>
          <w:szCs w:val="24"/>
        </w:rPr>
        <w:t>Riset</w:t>
      </w:r>
      <w:proofErr w:type="spellEnd"/>
      <w:r w:rsidRPr="002979FC">
        <w:rPr>
          <w:rFonts w:ascii="Book Antiqua" w:hAnsi="Book Antiqua"/>
          <w:i/>
          <w:sz w:val="24"/>
          <w:szCs w:val="24"/>
        </w:rPr>
        <w:t xml:space="preserve"> Akuntansi,</w:t>
      </w:r>
      <w:r w:rsidRPr="002979FC">
        <w:rPr>
          <w:rFonts w:ascii="Book Antiqua" w:hAnsi="Book Antiqua"/>
          <w:sz w:val="24"/>
          <w:szCs w:val="24"/>
        </w:rPr>
        <w:t xml:space="preserve"> 9(5), 1–15.</w:t>
      </w:r>
    </w:p>
    <w:p w14:paraId="0F767CB3" w14:textId="4954BD63" w:rsidR="00D3574D" w:rsidRPr="002979FC" w:rsidRDefault="00D3574D" w:rsidP="0041547B">
      <w:pPr>
        <w:spacing w:after="0" w:line="240" w:lineRule="auto"/>
        <w:ind w:left="720" w:hanging="720"/>
        <w:jc w:val="both"/>
        <w:rPr>
          <w:rFonts w:ascii="Book Antiqua" w:hAnsi="Book Antiqua"/>
          <w:sz w:val="24"/>
          <w:szCs w:val="24"/>
        </w:rPr>
      </w:pPr>
      <w:r w:rsidRPr="002979FC">
        <w:rPr>
          <w:rFonts w:ascii="Book Antiqua" w:hAnsi="Book Antiqua"/>
          <w:sz w:val="24"/>
          <w:szCs w:val="24"/>
        </w:rPr>
        <w:t xml:space="preserve">Sari, N. P., &amp; </w:t>
      </w:r>
      <w:proofErr w:type="spellStart"/>
      <w:r w:rsidRPr="002979FC">
        <w:rPr>
          <w:rFonts w:ascii="Book Antiqua" w:hAnsi="Book Antiqua"/>
          <w:sz w:val="24"/>
          <w:szCs w:val="24"/>
        </w:rPr>
        <w:t>Rachmawati</w:t>
      </w:r>
      <w:proofErr w:type="spellEnd"/>
      <w:r w:rsidRPr="002979FC">
        <w:rPr>
          <w:rFonts w:ascii="Book Antiqua" w:hAnsi="Book Antiqua"/>
          <w:sz w:val="24"/>
          <w:szCs w:val="24"/>
        </w:rPr>
        <w:t xml:space="preserve">, D. (2021). The influence of liquidity and profitability ratios on company performance. </w:t>
      </w:r>
      <w:proofErr w:type="spellStart"/>
      <w:r w:rsidRPr="002979FC">
        <w:rPr>
          <w:rFonts w:ascii="Book Antiqua" w:hAnsi="Book Antiqua"/>
          <w:i/>
          <w:sz w:val="24"/>
          <w:szCs w:val="24"/>
        </w:rPr>
        <w:t>Jurnal</w:t>
      </w:r>
      <w:proofErr w:type="spellEnd"/>
      <w:r w:rsidRPr="002979FC">
        <w:rPr>
          <w:rFonts w:ascii="Book Antiqua" w:hAnsi="Book Antiqua"/>
          <w:i/>
          <w:sz w:val="24"/>
          <w:szCs w:val="24"/>
        </w:rPr>
        <w:t xml:space="preserve"> </w:t>
      </w:r>
      <w:proofErr w:type="spellStart"/>
      <w:r w:rsidRPr="002979FC">
        <w:rPr>
          <w:rFonts w:ascii="Book Antiqua" w:hAnsi="Book Antiqua"/>
          <w:i/>
          <w:sz w:val="24"/>
          <w:szCs w:val="24"/>
        </w:rPr>
        <w:t>Akuntansi</w:t>
      </w:r>
      <w:proofErr w:type="spellEnd"/>
      <w:r w:rsidRPr="002979FC">
        <w:rPr>
          <w:rFonts w:ascii="Book Antiqua" w:hAnsi="Book Antiqua"/>
          <w:i/>
          <w:sz w:val="24"/>
          <w:szCs w:val="24"/>
        </w:rPr>
        <w:t xml:space="preserve"> dan </w:t>
      </w:r>
      <w:proofErr w:type="spellStart"/>
      <w:r w:rsidRPr="002979FC">
        <w:rPr>
          <w:rFonts w:ascii="Book Antiqua" w:hAnsi="Book Antiqua"/>
          <w:i/>
          <w:sz w:val="24"/>
          <w:szCs w:val="24"/>
        </w:rPr>
        <w:t>Keuangan</w:t>
      </w:r>
      <w:proofErr w:type="spellEnd"/>
      <w:r w:rsidRPr="002979FC">
        <w:rPr>
          <w:rFonts w:ascii="Book Antiqua" w:hAnsi="Book Antiqua"/>
          <w:i/>
          <w:sz w:val="24"/>
          <w:szCs w:val="24"/>
        </w:rPr>
        <w:t xml:space="preserve"> Indonesia,</w:t>
      </w:r>
      <w:r w:rsidRPr="002979FC">
        <w:rPr>
          <w:rFonts w:ascii="Book Antiqua" w:hAnsi="Book Antiqua"/>
          <w:sz w:val="24"/>
          <w:szCs w:val="24"/>
        </w:rPr>
        <w:t xml:space="preserve"> 18(2), 122–134.</w:t>
      </w:r>
    </w:p>
    <w:p w14:paraId="785D8BBF" w14:textId="52F25F8C" w:rsidR="00D3574D" w:rsidRPr="002979FC" w:rsidRDefault="00D3574D" w:rsidP="0041547B">
      <w:pPr>
        <w:spacing w:after="0" w:line="240" w:lineRule="auto"/>
        <w:ind w:left="720" w:hanging="720"/>
        <w:jc w:val="both"/>
        <w:rPr>
          <w:rFonts w:ascii="Book Antiqua" w:hAnsi="Book Antiqua"/>
          <w:sz w:val="24"/>
          <w:szCs w:val="24"/>
        </w:rPr>
      </w:pPr>
      <w:proofErr w:type="spellStart"/>
      <w:r w:rsidRPr="002979FC">
        <w:rPr>
          <w:rFonts w:ascii="Book Antiqua" w:hAnsi="Book Antiqua"/>
          <w:sz w:val="24"/>
          <w:szCs w:val="24"/>
        </w:rPr>
        <w:t>Sugiyono</w:t>
      </w:r>
      <w:proofErr w:type="spellEnd"/>
      <w:r w:rsidRPr="002979FC">
        <w:rPr>
          <w:rFonts w:ascii="Book Antiqua" w:hAnsi="Book Antiqua"/>
          <w:sz w:val="24"/>
          <w:szCs w:val="24"/>
        </w:rPr>
        <w:t xml:space="preserve">. (2017). </w:t>
      </w:r>
      <w:proofErr w:type="spellStart"/>
      <w:r w:rsidRPr="002979FC">
        <w:rPr>
          <w:rFonts w:ascii="Book Antiqua" w:hAnsi="Book Antiqua"/>
          <w:i/>
          <w:sz w:val="24"/>
          <w:szCs w:val="24"/>
        </w:rPr>
        <w:t>Metode</w:t>
      </w:r>
      <w:proofErr w:type="spellEnd"/>
      <w:r w:rsidRPr="002979FC">
        <w:rPr>
          <w:rFonts w:ascii="Book Antiqua" w:hAnsi="Book Antiqua"/>
          <w:i/>
          <w:sz w:val="24"/>
          <w:szCs w:val="24"/>
        </w:rPr>
        <w:t xml:space="preserve"> </w:t>
      </w:r>
      <w:proofErr w:type="spellStart"/>
      <w:r w:rsidRPr="002979FC">
        <w:rPr>
          <w:rFonts w:ascii="Book Antiqua" w:hAnsi="Book Antiqua"/>
          <w:i/>
          <w:sz w:val="24"/>
          <w:szCs w:val="24"/>
        </w:rPr>
        <w:t>penelitian</w:t>
      </w:r>
      <w:proofErr w:type="spellEnd"/>
      <w:r w:rsidRPr="002979FC">
        <w:rPr>
          <w:rFonts w:ascii="Book Antiqua" w:hAnsi="Book Antiqua"/>
          <w:i/>
          <w:sz w:val="24"/>
          <w:szCs w:val="24"/>
        </w:rPr>
        <w:t xml:space="preserve"> </w:t>
      </w:r>
      <w:proofErr w:type="spellStart"/>
      <w:r w:rsidRPr="002979FC">
        <w:rPr>
          <w:rFonts w:ascii="Book Antiqua" w:hAnsi="Book Antiqua"/>
          <w:i/>
          <w:sz w:val="24"/>
          <w:szCs w:val="24"/>
        </w:rPr>
        <w:t>kuantitatif</w:t>
      </w:r>
      <w:proofErr w:type="spellEnd"/>
      <w:r w:rsidRPr="002979FC">
        <w:rPr>
          <w:rFonts w:ascii="Book Antiqua" w:hAnsi="Book Antiqua"/>
          <w:i/>
          <w:sz w:val="24"/>
          <w:szCs w:val="24"/>
        </w:rPr>
        <w:t xml:space="preserve">, </w:t>
      </w:r>
      <w:proofErr w:type="spellStart"/>
      <w:r w:rsidRPr="002979FC">
        <w:rPr>
          <w:rFonts w:ascii="Book Antiqua" w:hAnsi="Book Antiqua"/>
          <w:i/>
          <w:sz w:val="24"/>
          <w:szCs w:val="24"/>
        </w:rPr>
        <w:t>kualitatif</w:t>
      </w:r>
      <w:proofErr w:type="spellEnd"/>
      <w:r w:rsidRPr="002979FC">
        <w:rPr>
          <w:rFonts w:ascii="Book Antiqua" w:hAnsi="Book Antiqua"/>
          <w:i/>
          <w:sz w:val="24"/>
          <w:szCs w:val="24"/>
        </w:rPr>
        <w:t>, dan R&amp;D.</w:t>
      </w:r>
      <w:r w:rsidRPr="002979FC">
        <w:rPr>
          <w:rFonts w:ascii="Book Antiqua" w:hAnsi="Book Antiqua"/>
          <w:sz w:val="24"/>
          <w:szCs w:val="24"/>
        </w:rPr>
        <w:t xml:space="preserve"> </w:t>
      </w:r>
      <w:proofErr w:type="spellStart"/>
      <w:r w:rsidRPr="002979FC">
        <w:rPr>
          <w:rFonts w:ascii="Book Antiqua" w:hAnsi="Book Antiqua"/>
          <w:sz w:val="24"/>
          <w:szCs w:val="24"/>
        </w:rPr>
        <w:t>Alfabeta</w:t>
      </w:r>
      <w:proofErr w:type="spellEnd"/>
      <w:r w:rsidRPr="002979FC">
        <w:rPr>
          <w:rFonts w:ascii="Book Antiqua" w:hAnsi="Book Antiqua"/>
          <w:sz w:val="24"/>
          <w:szCs w:val="24"/>
        </w:rPr>
        <w:t>.</w:t>
      </w:r>
    </w:p>
    <w:p w14:paraId="6D0177C5" w14:textId="37485CDF" w:rsidR="00D3574D" w:rsidRPr="002979FC" w:rsidRDefault="00D3574D" w:rsidP="0041547B">
      <w:pPr>
        <w:spacing w:after="0" w:line="240" w:lineRule="auto"/>
        <w:ind w:left="720" w:hanging="720"/>
        <w:jc w:val="both"/>
        <w:rPr>
          <w:rFonts w:ascii="Book Antiqua" w:hAnsi="Book Antiqua"/>
          <w:sz w:val="24"/>
          <w:szCs w:val="24"/>
        </w:rPr>
      </w:pPr>
      <w:r w:rsidRPr="002979FC">
        <w:rPr>
          <w:rFonts w:ascii="Book Antiqua" w:hAnsi="Book Antiqua"/>
          <w:sz w:val="24"/>
          <w:szCs w:val="24"/>
        </w:rPr>
        <w:t xml:space="preserve">Teece, D. J. (2018). Business models and dynamic capabilities. </w:t>
      </w:r>
      <w:r w:rsidRPr="002979FC">
        <w:rPr>
          <w:rFonts w:ascii="Book Antiqua" w:hAnsi="Book Antiqua"/>
          <w:i/>
          <w:sz w:val="24"/>
          <w:szCs w:val="24"/>
        </w:rPr>
        <w:t>Long Range Planning,</w:t>
      </w:r>
      <w:r w:rsidRPr="002979FC">
        <w:rPr>
          <w:rFonts w:ascii="Book Antiqua" w:hAnsi="Book Antiqua"/>
          <w:sz w:val="24"/>
          <w:szCs w:val="24"/>
        </w:rPr>
        <w:t xml:space="preserve"> 51(1), 40–49.</w:t>
      </w:r>
    </w:p>
    <w:p w14:paraId="6C5CB168" w14:textId="77777777" w:rsidR="00027163" w:rsidRPr="002979FC" w:rsidRDefault="00D3574D" w:rsidP="00FA3138">
      <w:pPr>
        <w:spacing w:after="0" w:line="240" w:lineRule="auto"/>
        <w:ind w:left="720" w:hanging="720"/>
        <w:jc w:val="both"/>
        <w:rPr>
          <w:rFonts w:ascii="Book Antiqua" w:hAnsi="Book Antiqua"/>
          <w:sz w:val="24"/>
          <w:szCs w:val="24"/>
        </w:rPr>
      </w:pPr>
      <w:r w:rsidRPr="002979FC">
        <w:rPr>
          <w:rFonts w:ascii="Book Antiqua" w:hAnsi="Book Antiqua"/>
          <w:sz w:val="24"/>
          <w:szCs w:val="24"/>
        </w:rPr>
        <w:t xml:space="preserve">Yuliana. (2020). Impact of COVID-19 pandemic on the global economy. </w:t>
      </w:r>
      <w:r w:rsidRPr="002979FC">
        <w:rPr>
          <w:rFonts w:ascii="Book Antiqua" w:hAnsi="Book Antiqua"/>
          <w:i/>
          <w:sz w:val="24"/>
          <w:szCs w:val="24"/>
        </w:rPr>
        <w:t>Journal of Economics, Business, and Management,</w:t>
      </w:r>
      <w:r w:rsidRPr="002979FC">
        <w:rPr>
          <w:rFonts w:ascii="Book Antiqua" w:hAnsi="Book Antiqua"/>
          <w:sz w:val="24"/>
          <w:szCs w:val="24"/>
        </w:rPr>
        <w:t xml:space="preserve"> 8(2), 89–96.</w:t>
      </w:r>
    </w:p>
    <w:sectPr w:rsidR="00027163" w:rsidRPr="002979FC" w:rsidSect="00F85F29">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pgNumType w:start="1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DEC61" w14:textId="77777777" w:rsidR="00DC04CB" w:rsidRDefault="00DC04CB" w:rsidP="00C33F7A">
      <w:pPr>
        <w:spacing w:after="0" w:line="240" w:lineRule="auto"/>
      </w:pPr>
      <w:r>
        <w:separator/>
      </w:r>
    </w:p>
  </w:endnote>
  <w:endnote w:type="continuationSeparator" w:id="0">
    <w:p w14:paraId="2275F7F3" w14:textId="77777777" w:rsidR="00DC04CB" w:rsidRDefault="00DC04CB" w:rsidP="00C3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embedRegular r:id="rId1" w:subsetted="1" w:fontKey="{272FA50F-A826-4092-9488-CB6A75D7B632}"/>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embedRegular r:id="rId2" w:fontKey="{0A14FDA0-10C4-49B6-BA28-7C79F6B7912A}"/>
    <w:embedBold r:id="rId3" w:fontKey="{FDADEC3C-E0F9-4599-841D-81B476B51899}"/>
    <w:embedItalic r:id="rId4" w:fontKey="{7DD6D472-F900-40BF-8FA9-C2CC158CB6FF}"/>
    <w:embedBoldItalic r:id="rId5" w:fontKey="{986F1C58-CD35-4EBB-8C51-8173D351232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269C" w14:textId="77777777" w:rsidR="00F85F29" w:rsidRDefault="00F85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728472"/>
      <w:docPartObj>
        <w:docPartGallery w:val="Page Numbers (Bottom of Page)"/>
        <w:docPartUnique/>
      </w:docPartObj>
    </w:sdtPr>
    <w:sdtEndPr>
      <w:rPr>
        <w:noProof/>
      </w:rPr>
    </w:sdtEndPr>
    <w:sdtContent>
      <w:bookmarkStart w:id="0" w:name="_GoBack" w:displacedByCustomXml="prev"/>
      <w:bookmarkEnd w:id="0" w:displacedByCustomXml="prev"/>
      <w:p w14:paraId="46FC1E67" w14:textId="6818DF77" w:rsidR="00F85F29" w:rsidRDefault="00F85F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563A3B" w14:textId="77777777" w:rsidR="00F85F29" w:rsidRDefault="00F85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A992" w14:textId="77777777" w:rsidR="00F85F29" w:rsidRDefault="00F8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3BBA" w14:textId="77777777" w:rsidR="00DC04CB" w:rsidRDefault="00DC04CB" w:rsidP="00C33F7A">
      <w:pPr>
        <w:spacing w:after="0" w:line="240" w:lineRule="auto"/>
      </w:pPr>
      <w:r>
        <w:separator/>
      </w:r>
    </w:p>
  </w:footnote>
  <w:footnote w:type="continuationSeparator" w:id="0">
    <w:p w14:paraId="486B953E" w14:textId="77777777" w:rsidR="00DC04CB" w:rsidRDefault="00DC04CB" w:rsidP="00C33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9849" w14:textId="77777777" w:rsidR="00F85F29" w:rsidRDefault="00F85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C33F7A" w14:paraId="6521774C" w14:textId="77777777" w:rsidTr="00C33F7A">
      <w:tc>
        <w:tcPr>
          <w:tcW w:w="2874" w:type="dxa"/>
        </w:tcPr>
        <w:p w14:paraId="6061BC57" w14:textId="77777777" w:rsidR="00C33F7A" w:rsidRDefault="00C33F7A" w:rsidP="00C33F7A">
          <w:pPr>
            <w:rPr>
              <w:rFonts w:ascii="Book Antiqua" w:hAnsi="Book Antiqua" w:cs="Book Antiqua"/>
            </w:rPr>
          </w:pPr>
          <w:r>
            <w:rPr>
              <w:rFonts w:ascii="Book Antiqua" w:hAnsi="Book Antiqua" w:cs="Book Antiqua"/>
              <w:noProof/>
            </w:rPr>
            <w:drawing>
              <wp:inline distT="0" distB="0" distL="114300" distR="114300" wp14:anchorId="7409A8FF" wp14:editId="31A52EF5">
                <wp:extent cx="1756410" cy="731520"/>
                <wp:effectExtent l="0" t="0" r="15240" b="11430"/>
                <wp:docPr id="8"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20834C72" w14:textId="77777777" w:rsidR="00C33F7A" w:rsidRDefault="00C33F7A" w:rsidP="00C33F7A">
          <w:pPr>
            <w:rPr>
              <w:rFonts w:ascii="Book Antiqua" w:hAnsi="Book Antiqua"/>
              <w:b/>
              <w:bCs/>
              <w:color w:val="002060"/>
              <w:sz w:val="28"/>
              <w:szCs w:val="28"/>
            </w:rPr>
          </w:pPr>
          <w:r>
            <w:rPr>
              <w:rFonts w:ascii="Book Antiqua" w:hAnsi="Book Antiqua"/>
              <w:b/>
              <w:bCs/>
              <w:color w:val="002060"/>
              <w:sz w:val="28"/>
              <w:szCs w:val="28"/>
            </w:rPr>
            <w:t>1</w:t>
          </w:r>
          <w:r>
            <w:rPr>
              <w:rFonts w:ascii="Book Antiqua" w:hAnsi="Book Antiqua"/>
              <w:b/>
              <w:bCs/>
              <w:color w:val="002060"/>
              <w:sz w:val="28"/>
              <w:szCs w:val="28"/>
              <w:vertAlign w:val="superscript"/>
            </w:rPr>
            <w:t>st</w:t>
          </w:r>
          <w:r>
            <w:rPr>
              <w:rFonts w:ascii="Book Antiqua" w:hAnsi="Book Antiqua"/>
              <w:b/>
              <w:bCs/>
              <w:color w:val="002060"/>
              <w:sz w:val="28"/>
              <w:szCs w:val="28"/>
            </w:rPr>
            <w:t xml:space="preserve"> International Conference on Management, Business and Economy (</w:t>
          </w:r>
          <w:proofErr w:type="spellStart"/>
          <w:r>
            <w:rPr>
              <w:rFonts w:ascii="Book Antiqua" w:hAnsi="Book Antiqua"/>
              <w:b/>
              <w:bCs/>
              <w:color w:val="002060"/>
              <w:sz w:val="28"/>
              <w:szCs w:val="28"/>
            </w:rPr>
            <w:t>ICoMBEc</w:t>
          </w:r>
          <w:proofErr w:type="spellEnd"/>
          <w:r>
            <w:rPr>
              <w:rFonts w:ascii="Book Antiqua" w:hAnsi="Book Antiqua"/>
              <w:b/>
              <w:bCs/>
              <w:color w:val="002060"/>
              <w:sz w:val="28"/>
              <w:szCs w:val="28"/>
            </w:rPr>
            <w:t xml:space="preserve"> 2025)</w:t>
          </w:r>
        </w:p>
        <w:p w14:paraId="68186809" w14:textId="77777777" w:rsidR="00C33F7A" w:rsidRDefault="00C33F7A" w:rsidP="00C33F7A">
          <w:pPr>
            <w:rPr>
              <w:rFonts w:ascii="Book Antiqua" w:hAnsi="Book Antiqua"/>
              <w:color w:val="4BACC6" w:themeColor="accent5"/>
              <w:sz w:val="20"/>
              <w:szCs w:val="20"/>
            </w:rPr>
          </w:pPr>
          <w:r>
            <w:rPr>
              <w:rFonts w:ascii="Book Antiqua" w:hAnsi="Book Antiqua"/>
              <w:color w:val="4BACC6" w:themeColor="accent5"/>
              <w:sz w:val="20"/>
              <w:szCs w:val="20"/>
            </w:rPr>
            <w:t>Vo. 1 No. 1 2025</w:t>
          </w:r>
        </w:p>
        <w:p w14:paraId="0B5C0B12" w14:textId="77777777" w:rsidR="00C33F7A" w:rsidRDefault="00C33F7A" w:rsidP="00C33F7A">
          <w:pPr>
            <w:rPr>
              <w:rFonts w:ascii="Book Antiqua" w:hAnsi="Book Antiqua"/>
              <w:sz w:val="28"/>
              <w:szCs w:val="28"/>
            </w:rPr>
          </w:pPr>
          <w:r>
            <w:rPr>
              <w:rFonts w:ascii="Book Antiqua" w:hAnsi="Book Antiqua"/>
              <w:color w:val="4BACC6" w:themeColor="accent5"/>
              <w:sz w:val="20"/>
              <w:szCs w:val="20"/>
            </w:rPr>
            <w:t>e-</w:t>
          </w:r>
          <w:proofErr w:type="gramStart"/>
          <w:r>
            <w:rPr>
              <w:rFonts w:ascii="Book Antiqua" w:hAnsi="Book Antiqua"/>
              <w:color w:val="4BACC6" w:themeColor="accent5"/>
              <w:sz w:val="20"/>
              <w:szCs w:val="20"/>
            </w:rPr>
            <w:t>ISSN :</w:t>
          </w:r>
          <w:proofErr w:type="gramEnd"/>
          <w:r>
            <w:rPr>
              <w:rFonts w:ascii="Book Antiqua" w:hAnsi="Book Antiqua"/>
              <w:color w:val="4BACC6" w:themeColor="accent5"/>
              <w:sz w:val="20"/>
              <w:szCs w:val="20"/>
            </w:rPr>
            <w:t xml:space="preserve"> XXXX-XXX</w:t>
          </w:r>
        </w:p>
      </w:tc>
    </w:tr>
  </w:tbl>
  <w:p w14:paraId="4FEA7C92" w14:textId="77777777" w:rsidR="00C33F7A" w:rsidRDefault="00C33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E5BF5" w14:textId="77777777" w:rsidR="00F85F29" w:rsidRDefault="00F85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TrueTypeFonts/>
  <w:embedSystem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66"/>
    <w:rsid w:val="000158DE"/>
    <w:rsid w:val="0002249E"/>
    <w:rsid w:val="00027163"/>
    <w:rsid w:val="00052DC3"/>
    <w:rsid w:val="000D1CE9"/>
    <w:rsid w:val="000D5AE2"/>
    <w:rsid w:val="000F0526"/>
    <w:rsid w:val="00157552"/>
    <w:rsid w:val="00160C48"/>
    <w:rsid w:val="001708E1"/>
    <w:rsid w:val="001A16A0"/>
    <w:rsid w:val="00200E5E"/>
    <w:rsid w:val="002023BE"/>
    <w:rsid w:val="00242CC6"/>
    <w:rsid w:val="0027516C"/>
    <w:rsid w:val="002979FC"/>
    <w:rsid w:val="002B73DC"/>
    <w:rsid w:val="002C0593"/>
    <w:rsid w:val="0030038C"/>
    <w:rsid w:val="00322CDC"/>
    <w:rsid w:val="00330071"/>
    <w:rsid w:val="003416AA"/>
    <w:rsid w:val="00371E89"/>
    <w:rsid w:val="003B3B04"/>
    <w:rsid w:val="003E3D73"/>
    <w:rsid w:val="0040544C"/>
    <w:rsid w:val="0041547B"/>
    <w:rsid w:val="004F73F5"/>
    <w:rsid w:val="0058251E"/>
    <w:rsid w:val="005C253C"/>
    <w:rsid w:val="005E7722"/>
    <w:rsid w:val="00653A5B"/>
    <w:rsid w:val="006C295A"/>
    <w:rsid w:val="006F56A0"/>
    <w:rsid w:val="00734CFA"/>
    <w:rsid w:val="007A59C7"/>
    <w:rsid w:val="007B7B66"/>
    <w:rsid w:val="007C0168"/>
    <w:rsid w:val="007D5CB2"/>
    <w:rsid w:val="007E3810"/>
    <w:rsid w:val="00805396"/>
    <w:rsid w:val="009633C2"/>
    <w:rsid w:val="00975800"/>
    <w:rsid w:val="009B1C17"/>
    <w:rsid w:val="009F736A"/>
    <w:rsid w:val="00A41725"/>
    <w:rsid w:val="00A55B2E"/>
    <w:rsid w:val="00A76234"/>
    <w:rsid w:val="00A77A93"/>
    <w:rsid w:val="00AC60E6"/>
    <w:rsid w:val="00AD2559"/>
    <w:rsid w:val="00AF6449"/>
    <w:rsid w:val="00B65476"/>
    <w:rsid w:val="00B71487"/>
    <w:rsid w:val="00B73154"/>
    <w:rsid w:val="00B80678"/>
    <w:rsid w:val="00BD13AA"/>
    <w:rsid w:val="00BE4F2A"/>
    <w:rsid w:val="00C33F7A"/>
    <w:rsid w:val="00C56326"/>
    <w:rsid w:val="00CE66B2"/>
    <w:rsid w:val="00D06DCF"/>
    <w:rsid w:val="00D24D63"/>
    <w:rsid w:val="00D2605B"/>
    <w:rsid w:val="00D3574D"/>
    <w:rsid w:val="00D515C9"/>
    <w:rsid w:val="00DA2532"/>
    <w:rsid w:val="00DC04CB"/>
    <w:rsid w:val="00DC4F19"/>
    <w:rsid w:val="00E24E5D"/>
    <w:rsid w:val="00E57D66"/>
    <w:rsid w:val="00E83D6E"/>
    <w:rsid w:val="00EA07B7"/>
    <w:rsid w:val="00EA5F01"/>
    <w:rsid w:val="00EB7350"/>
    <w:rsid w:val="00EE3EEC"/>
    <w:rsid w:val="00F31875"/>
    <w:rsid w:val="00F64039"/>
    <w:rsid w:val="00F7612F"/>
    <w:rsid w:val="00F85F29"/>
    <w:rsid w:val="00FA3138"/>
    <w:rsid w:val="00FD796F"/>
    <w:rsid w:val="00FE404E"/>
    <w:rsid w:val="00FE4F60"/>
    <w:rsid w:val="00FF05DD"/>
    <w:rsid w:val="00FF061F"/>
    <w:rsid w:val="00FF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CDBC"/>
  <w15:docId w15:val="{1C9C2F8B-152D-40B6-B775-35ADB547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60"/>
    <w:rPr>
      <w:rFonts w:ascii="Tahoma" w:hAnsi="Tahoma" w:cs="Tahoma"/>
      <w:sz w:val="16"/>
      <w:szCs w:val="16"/>
    </w:rPr>
  </w:style>
  <w:style w:type="table" w:styleId="TableGrid">
    <w:name w:val="Table Grid"/>
    <w:basedOn w:val="TableNormal"/>
    <w:rsid w:val="001A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7A"/>
  </w:style>
  <w:style w:type="paragraph" w:styleId="Footer">
    <w:name w:val="footer"/>
    <w:basedOn w:val="Normal"/>
    <w:link w:val="FooterChar"/>
    <w:uiPriority w:val="99"/>
    <w:unhideWhenUsed/>
    <w:rsid w:val="00C33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7A"/>
  </w:style>
  <w:style w:type="character" w:styleId="Hyperlink">
    <w:name w:val="Hyperlink"/>
    <w:basedOn w:val="DefaultParagraphFont"/>
    <w:uiPriority w:val="99"/>
    <w:unhideWhenUsed/>
    <w:rsid w:val="0041547B"/>
    <w:rPr>
      <w:color w:val="0000FF" w:themeColor="hyperlink"/>
      <w:u w:val="single"/>
    </w:rPr>
  </w:style>
  <w:style w:type="character" w:styleId="UnresolvedMention">
    <w:name w:val="Unresolved Mention"/>
    <w:basedOn w:val="DefaultParagraphFont"/>
    <w:uiPriority w:val="99"/>
    <w:semiHidden/>
    <w:unhideWhenUsed/>
    <w:rsid w:val="00415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10608">
      <w:bodyDiv w:val="1"/>
      <w:marLeft w:val="0"/>
      <w:marRight w:val="0"/>
      <w:marTop w:val="0"/>
      <w:marBottom w:val="0"/>
      <w:divBdr>
        <w:top w:val="none" w:sz="0" w:space="0" w:color="auto"/>
        <w:left w:val="none" w:sz="0" w:space="0" w:color="auto"/>
        <w:bottom w:val="none" w:sz="0" w:space="0" w:color="auto"/>
        <w:right w:val="none" w:sz="0" w:space="0" w:color="auto"/>
      </w:divBdr>
    </w:div>
    <w:div w:id="1244335932">
      <w:bodyDiv w:val="1"/>
      <w:marLeft w:val="0"/>
      <w:marRight w:val="0"/>
      <w:marTop w:val="0"/>
      <w:marBottom w:val="0"/>
      <w:divBdr>
        <w:top w:val="none" w:sz="0" w:space="0" w:color="auto"/>
        <w:left w:val="none" w:sz="0" w:space="0" w:color="auto"/>
        <w:bottom w:val="none" w:sz="0" w:space="0" w:color="auto"/>
        <w:right w:val="none" w:sz="0" w:space="0" w:color="auto"/>
      </w:divBdr>
    </w:div>
    <w:div w:id="1430586790">
      <w:bodyDiv w:val="1"/>
      <w:marLeft w:val="0"/>
      <w:marRight w:val="0"/>
      <w:marTop w:val="0"/>
      <w:marBottom w:val="0"/>
      <w:divBdr>
        <w:top w:val="none" w:sz="0" w:space="0" w:color="auto"/>
        <w:left w:val="none" w:sz="0" w:space="0" w:color="auto"/>
        <w:bottom w:val="none" w:sz="0" w:space="0" w:color="auto"/>
        <w:right w:val="none" w:sz="0" w:space="0" w:color="auto"/>
      </w:divBdr>
    </w:div>
    <w:div w:id="1642076063">
      <w:bodyDiv w:val="1"/>
      <w:marLeft w:val="0"/>
      <w:marRight w:val="0"/>
      <w:marTop w:val="0"/>
      <w:marBottom w:val="0"/>
      <w:divBdr>
        <w:top w:val="none" w:sz="0" w:space="0" w:color="auto"/>
        <w:left w:val="none" w:sz="0" w:space="0" w:color="auto"/>
        <w:bottom w:val="none" w:sz="0" w:space="0" w:color="auto"/>
        <w:right w:val="none" w:sz="0" w:space="0" w:color="auto"/>
      </w:divBdr>
    </w:div>
    <w:div w:id="21226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o.dandoo@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Current Ratio (%)</c:v>
                </c:pt>
              </c:strCache>
            </c:strRef>
          </c:tx>
          <c:invertIfNegative val="0"/>
          <c:cat>
            <c:strRef>
              <c:f>Sheet1!$A$2:$A$12</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Sheet1!$B$2:$B$12</c:f>
              <c:numCache>
                <c:formatCode>General</c:formatCode>
                <c:ptCount val="11"/>
                <c:pt idx="0">
                  <c:v>321.88</c:v>
                </c:pt>
                <c:pt idx="1">
                  <c:v>257.87</c:v>
                </c:pt>
                <c:pt idx="2">
                  <c:v>222.53</c:v>
                </c:pt>
                <c:pt idx="3">
                  <c:v>256.14999999999998</c:v>
                </c:pt>
                <c:pt idx="4">
                  <c:v>429.07</c:v>
                </c:pt>
                <c:pt idx="5">
                  <c:v>748.54</c:v>
                </c:pt>
                <c:pt idx="6" formatCode="#,##0.00">
                  <c:v>1204.6500000000001</c:v>
                </c:pt>
                <c:pt idx="7">
                  <c:v>361.38</c:v>
                </c:pt>
                <c:pt idx="8">
                  <c:v>423.93</c:v>
                </c:pt>
                <c:pt idx="9">
                  <c:v>474.32</c:v>
                </c:pt>
                <c:pt idx="10">
                  <c:v>599.95000000000005</c:v>
                </c:pt>
              </c:numCache>
            </c:numRef>
          </c:val>
          <c:extLst>
            <c:ext xmlns:c16="http://schemas.microsoft.com/office/drawing/2014/chart" uri="{C3380CC4-5D6E-409C-BE32-E72D297353CC}">
              <c16:uniqueId val="{00000000-9AA4-490B-9E7C-030F86ABD886}"/>
            </c:ext>
          </c:extLst>
        </c:ser>
        <c:ser>
          <c:idx val="1"/>
          <c:order val="1"/>
          <c:tx>
            <c:strRef>
              <c:f>Sheet1!$C$1</c:f>
              <c:strCache>
                <c:ptCount val="1"/>
                <c:pt idx="0">
                  <c:v>Quick Ratio (%)</c:v>
                </c:pt>
              </c:strCache>
            </c:strRef>
          </c:tx>
          <c:invertIfNegative val="0"/>
          <c:cat>
            <c:strRef>
              <c:f>Sheet1!$A$2:$A$12</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Sheet1!$C$2:$C$12</c:f>
              <c:numCache>
                <c:formatCode>General</c:formatCode>
                <c:ptCount val="11"/>
                <c:pt idx="0">
                  <c:v>206.33</c:v>
                </c:pt>
                <c:pt idx="1">
                  <c:v>164.63</c:v>
                </c:pt>
                <c:pt idx="2">
                  <c:v>123.45</c:v>
                </c:pt>
                <c:pt idx="3">
                  <c:v>141.59</c:v>
                </c:pt>
                <c:pt idx="4">
                  <c:v>274.26</c:v>
                </c:pt>
                <c:pt idx="5">
                  <c:v>593.36</c:v>
                </c:pt>
                <c:pt idx="6">
                  <c:v>994.29</c:v>
                </c:pt>
                <c:pt idx="7">
                  <c:v>295.19</c:v>
                </c:pt>
                <c:pt idx="8">
                  <c:v>329.99</c:v>
                </c:pt>
                <c:pt idx="9">
                  <c:v>430.58</c:v>
                </c:pt>
                <c:pt idx="10">
                  <c:v>459.94</c:v>
                </c:pt>
              </c:numCache>
            </c:numRef>
          </c:val>
          <c:extLst>
            <c:ext xmlns:c16="http://schemas.microsoft.com/office/drawing/2014/chart" uri="{C3380CC4-5D6E-409C-BE32-E72D297353CC}">
              <c16:uniqueId val="{00000001-9AA4-490B-9E7C-030F86ABD886}"/>
            </c:ext>
          </c:extLst>
        </c:ser>
        <c:ser>
          <c:idx val="2"/>
          <c:order val="2"/>
          <c:tx>
            <c:strRef>
              <c:f>Sheet1!$D$1</c:f>
              <c:strCache>
                <c:ptCount val="1"/>
                <c:pt idx="0">
                  <c:v>Cash Ratio(%)</c:v>
                </c:pt>
              </c:strCache>
            </c:strRef>
          </c:tx>
          <c:invertIfNegative val="0"/>
          <c:cat>
            <c:strRef>
              <c:f>Sheet1!$A$2:$A$12</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Sheet1!$D$2:$D$12</c:f>
              <c:numCache>
                <c:formatCode>General</c:formatCode>
                <c:ptCount val="11"/>
                <c:pt idx="0">
                  <c:v>165.38</c:v>
                </c:pt>
                <c:pt idx="1">
                  <c:v>123.12</c:v>
                </c:pt>
                <c:pt idx="2">
                  <c:v>103.72</c:v>
                </c:pt>
                <c:pt idx="3">
                  <c:v>121.1</c:v>
                </c:pt>
                <c:pt idx="4">
                  <c:v>231.37</c:v>
                </c:pt>
                <c:pt idx="5">
                  <c:v>507.2</c:v>
                </c:pt>
                <c:pt idx="6">
                  <c:v>847.35</c:v>
                </c:pt>
                <c:pt idx="7">
                  <c:v>272.83999999999997</c:v>
                </c:pt>
                <c:pt idx="8">
                  <c:v>323.89</c:v>
                </c:pt>
                <c:pt idx="9">
                  <c:v>424.73</c:v>
                </c:pt>
                <c:pt idx="10">
                  <c:v>395.42</c:v>
                </c:pt>
              </c:numCache>
            </c:numRef>
          </c:val>
          <c:extLst>
            <c:ext xmlns:c16="http://schemas.microsoft.com/office/drawing/2014/chart" uri="{C3380CC4-5D6E-409C-BE32-E72D297353CC}">
              <c16:uniqueId val="{00000002-9AA4-490B-9E7C-030F86ABD886}"/>
            </c:ext>
          </c:extLst>
        </c:ser>
        <c:dLbls>
          <c:showLegendKey val="0"/>
          <c:showVal val="0"/>
          <c:showCatName val="0"/>
          <c:showSerName val="0"/>
          <c:showPercent val="0"/>
          <c:showBubbleSize val="0"/>
        </c:dLbls>
        <c:gapWidth val="150"/>
        <c:axId val="124665216"/>
        <c:axId val="124707968"/>
      </c:barChart>
      <c:catAx>
        <c:axId val="124665216"/>
        <c:scaling>
          <c:orientation val="minMax"/>
        </c:scaling>
        <c:delete val="0"/>
        <c:axPos val="l"/>
        <c:numFmt formatCode="General" sourceLinked="1"/>
        <c:majorTickMark val="out"/>
        <c:minorTickMark val="none"/>
        <c:tickLblPos val="nextTo"/>
        <c:crossAx val="124707968"/>
        <c:crosses val="autoZero"/>
        <c:auto val="1"/>
        <c:lblAlgn val="ctr"/>
        <c:lblOffset val="100"/>
        <c:noMultiLvlLbl val="0"/>
      </c:catAx>
      <c:valAx>
        <c:axId val="124707968"/>
        <c:scaling>
          <c:orientation val="minMax"/>
        </c:scaling>
        <c:delete val="0"/>
        <c:axPos val="b"/>
        <c:majorGridlines/>
        <c:numFmt formatCode="General" sourceLinked="1"/>
        <c:majorTickMark val="out"/>
        <c:minorTickMark val="none"/>
        <c:tickLblPos val="nextTo"/>
        <c:crossAx val="1246652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Sheet1!$B$2</c:f>
              <c:strCache>
                <c:ptCount val="1"/>
                <c:pt idx="0">
                  <c:v>Debt to Equity Ratio(%)</c:v>
                </c:pt>
              </c:strCache>
            </c:strRef>
          </c:tx>
          <c:invertIfNegative val="0"/>
          <c:cat>
            <c:strRef>
              <c:f>Sheet1!$A$3:$A$13</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Sheet1!$B$3:$B$13</c:f>
              <c:numCache>
                <c:formatCode>General</c:formatCode>
                <c:ptCount val="11"/>
                <c:pt idx="0">
                  <c:v>119.1</c:v>
                </c:pt>
                <c:pt idx="1">
                  <c:v>140.63</c:v>
                </c:pt>
                <c:pt idx="2">
                  <c:v>186.73</c:v>
                </c:pt>
                <c:pt idx="3">
                  <c:v>196.98</c:v>
                </c:pt>
                <c:pt idx="4">
                  <c:v>123.95</c:v>
                </c:pt>
                <c:pt idx="5">
                  <c:v>67.23</c:v>
                </c:pt>
                <c:pt idx="6">
                  <c:v>41.13</c:v>
                </c:pt>
                <c:pt idx="7">
                  <c:v>167.72</c:v>
                </c:pt>
                <c:pt idx="8">
                  <c:v>137.28</c:v>
                </c:pt>
                <c:pt idx="9">
                  <c:v>123.34</c:v>
                </c:pt>
                <c:pt idx="10">
                  <c:v>119.4</c:v>
                </c:pt>
              </c:numCache>
            </c:numRef>
          </c:val>
          <c:extLst>
            <c:ext xmlns:c16="http://schemas.microsoft.com/office/drawing/2014/chart" uri="{C3380CC4-5D6E-409C-BE32-E72D297353CC}">
              <c16:uniqueId val="{00000000-A194-4239-AA81-962E86C13978}"/>
            </c:ext>
          </c:extLst>
        </c:ser>
        <c:ser>
          <c:idx val="1"/>
          <c:order val="1"/>
          <c:tx>
            <c:strRef>
              <c:f>Sheet1!$C$2</c:f>
              <c:strCache>
                <c:ptCount val="1"/>
                <c:pt idx="0">
                  <c:v>Debt Ratio(%)</c:v>
                </c:pt>
              </c:strCache>
            </c:strRef>
          </c:tx>
          <c:invertIfNegative val="0"/>
          <c:cat>
            <c:strRef>
              <c:f>Sheet1!$A$3:$A$13</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Sheet1!$C$3:$C$13</c:f>
              <c:numCache>
                <c:formatCode>General</c:formatCode>
                <c:ptCount val="11"/>
                <c:pt idx="0">
                  <c:v>23.45</c:v>
                </c:pt>
                <c:pt idx="1">
                  <c:v>30.51</c:v>
                </c:pt>
                <c:pt idx="2">
                  <c:v>36.590000000000003</c:v>
                </c:pt>
                <c:pt idx="3">
                  <c:v>35.229999999999997</c:v>
                </c:pt>
                <c:pt idx="4">
                  <c:v>24.97</c:v>
                </c:pt>
                <c:pt idx="5">
                  <c:v>17.61</c:v>
                </c:pt>
                <c:pt idx="6">
                  <c:v>12.44</c:v>
                </c:pt>
                <c:pt idx="7">
                  <c:v>38.49</c:v>
                </c:pt>
                <c:pt idx="8">
                  <c:v>34.14</c:v>
                </c:pt>
                <c:pt idx="9">
                  <c:v>30.62</c:v>
                </c:pt>
                <c:pt idx="10">
                  <c:v>25.75</c:v>
                </c:pt>
              </c:numCache>
            </c:numRef>
          </c:val>
          <c:extLst>
            <c:ext xmlns:c16="http://schemas.microsoft.com/office/drawing/2014/chart" uri="{C3380CC4-5D6E-409C-BE32-E72D297353CC}">
              <c16:uniqueId val="{00000001-A194-4239-AA81-962E86C13978}"/>
            </c:ext>
          </c:extLst>
        </c:ser>
        <c:ser>
          <c:idx val="2"/>
          <c:order val="2"/>
          <c:tx>
            <c:strRef>
              <c:f>Sheet1!$D$2</c:f>
              <c:strCache>
                <c:ptCount val="1"/>
                <c:pt idx="0">
                  <c:v>Equity Ratio(%)</c:v>
                </c:pt>
              </c:strCache>
            </c:strRef>
          </c:tx>
          <c:invertIfNegative val="0"/>
          <c:cat>
            <c:strRef>
              <c:f>Sheet1!$A$3:$A$13</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Sheet1!$D$3:$D$13</c:f>
              <c:numCache>
                <c:formatCode>General</c:formatCode>
                <c:ptCount val="11"/>
                <c:pt idx="0">
                  <c:v>19.690000000000001</c:v>
                </c:pt>
                <c:pt idx="1">
                  <c:v>21.69</c:v>
                </c:pt>
                <c:pt idx="2">
                  <c:v>19.600000000000001</c:v>
                </c:pt>
                <c:pt idx="3">
                  <c:v>17.88</c:v>
                </c:pt>
                <c:pt idx="4">
                  <c:v>20.51</c:v>
                </c:pt>
                <c:pt idx="5">
                  <c:v>25.2</c:v>
                </c:pt>
                <c:pt idx="6">
                  <c:v>30.12</c:v>
                </c:pt>
                <c:pt idx="7">
                  <c:v>22.94</c:v>
                </c:pt>
                <c:pt idx="8">
                  <c:v>24.87</c:v>
                </c:pt>
                <c:pt idx="9">
                  <c:v>24.53</c:v>
                </c:pt>
                <c:pt idx="10">
                  <c:v>23.48</c:v>
                </c:pt>
              </c:numCache>
            </c:numRef>
          </c:val>
          <c:extLst>
            <c:ext xmlns:c16="http://schemas.microsoft.com/office/drawing/2014/chart" uri="{C3380CC4-5D6E-409C-BE32-E72D297353CC}">
              <c16:uniqueId val="{00000002-A194-4239-AA81-962E86C13978}"/>
            </c:ext>
          </c:extLst>
        </c:ser>
        <c:ser>
          <c:idx val="3"/>
          <c:order val="3"/>
          <c:tx>
            <c:strRef>
              <c:f>Sheet1!$E$2</c:f>
              <c:strCache>
                <c:ptCount val="1"/>
                <c:pt idx="0">
                  <c:v>Times Interest Earned Ratio(%)</c:v>
                </c:pt>
              </c:strCache>
            </c:strRef>
          </c:tx>
          <c:invertIfNegative val="0"/>
          <c:cat>
            <c:strRef>
              <c:f>Sheet1!$A$3:$A$13</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Sheet1!$E$3:$E$13</c:f>
              <c:numCache>
                <c:formatCode>General</c:formatCode>
                <c:ptCount val="11"/>
                <c:pt idx="0">
                  <c:v>2165.34</c:v>
                </c:pt>
                <c:pt idx="1">
                  <c:v>-31.18</c:v>
                </c:pt>
                <c:pt idx="2">
                  <c:v>1387.89</c:v>
                </c:pt>
                <c:pt idx="3">
                  <c:v>2215.41</c:v>
                </c:pt>
                <c:pt idx="4">
                  <c:v>1169.1600000000001</c:v>
                </c:pt>
                <c:pt idx="5">
                  <c:v>-2310.12</c:v>
                </c:pt>
                <c:pt idx="6">
                  <c:v>-1266.19</c:v>
                </c:pt>
                <c:pt idx="7">
                  <c:v>-109.88</c:v>
                </c:pt>
                <c:pt idx="8">
                  <c:v>300.22000000000003</c:v>
                </c:pt>
                <c:pt idx="9">
                  <c:v>420.76</c:v>
                </c:pt>
                <c:pt idx="10">
                  <c:v>-240.33</c:v>
                </c:pt>
              </c:numCache>
            </c:numRef>
          </c:val>
          <c:extLst>
            <c:ext xmlns:c16="http://schemas.microsoft.com/office/drawing/2014/chart" uri="{C3380CC4-5D6E-409C-BE32-E72D297353CC}">
              <c16:uniqueId val="{00000003-A194-4239-AA81-962E86C13978}"/>
            </c:ext>
          </c:extLst>
        </c:ser>
        <c:dLbls>
          <c:showLegendKey val="0"/>
          <c:showVal val="0"/>
          <c:showCatName val="0"/>
          <c:showSerName val="0"/>
          <c:showPercent val="0"/>
          <c:showBubbleSize val="0"/>
        </c:dLbls>
        <c:gapWidth val="150"/>
        <c:axId val="124886016"/>
        <c:axId val="124887808"/>
      </c:barChart>
      <c:catAx>
        <c:axId val="124886016"/>
        <c:scaling>
          <c:orientation val="minMax"/>
        </c:scaling>
        <c:delete val="0"/>
        <c:axPos val="l"/>
        <c:numFmt formatCode="General" sourceLinked="1"/>
        <c:majorTickMark val="out"/>
        <c:minorTickMark val="none"/>
        <c:tickLblPos val="nextTo"/>
        <c:crossAx val="124887808"/>
        <c:crosses val="autoZero"/>
        <c:auto val="1"/>
        <c:lblAlgn val="ctr"/>
        <c:lblOffset val="100"/>
        <c:noMultiLvlLbl val="0"/>
      </c:catAx>
      <c:valAx>
        <c:axId val="124887808"/>
        <c:scaling>
          <c:orientation val="minMax"/>
        </c:scaling>
        <c:delete val="0"/>
        <c:axPos val="b"/>
        <c:majorGridlines/>
        <c:numFmt formatCode="General" sourceLinked="1"/>
        <c:majorTickMark val="out"/>
        <c:minorTickMark val="none"/>
        <c:tickLblPos val="nextTo"/>
        <c:crossAx val="1248860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Cash Turn Over (%)</c:v>
                </c:pt>
              </c:strCache>
            </c:strRef>
          </c:tx>
          <c:invertIfNegative val="0"/>
          <c:cat>
            <c:strRef>
              <c:f>Sheet1!$A$2:$A$12</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Sheet1!$B$2:$B$12</c:f>
              <c:numCache>
                <c:formatCode>General</c:formatCode>
                <c:ptCount val="11"/>
                <c:pt idx="0">
                  <c:v>66.349999999999994</c:v>
                </c:pt>
                <c:pt idx="1">
                  <c:v>88.12</c:v>
                </c:pt>
                <c:pt idx="2">
                  <c:v>81.58</c:v>
                </c:pt>
                <c:pt idx="3">
                  <c:v>84.97</c:v>
                </c:pt>
                <c:pt idx="4">
                  <c:v>88.21</c:v>
                </c:pt>
                <c:pt idx="5">
                  <c:v>13.51</c:v>
                </c:pt>
                <c:pt idx="6">
                  <c:v>2.63</c:v>
                </c:pt>
                <c:pt idx="7">
                  <c:v>9.81</c:v>
                </c:pt>
                <c:pt idx="8">
                  <c:v>27.25</c:v>
                </c:pt>
                <c:pt idx="9">
                  <c:v>28.03</c:v>
                </c:pt>
                <c:pt idx="10">
                  <c:v>39.83</c:v>
                </c:pt>
              </c:numCache>
            </c:numRef>
          </c:val>
          <c:extLst>
            <c:ext xmlns:c16="http://schemas.microsoft.com/office/drawing/2014/chart" uri="{C3380CC4-5D6E-409C-BE32-E72D297353CC}">
              <c16:uniqueId val="{00000000-1F73-4DE3-829F-9AABA43F7CD3}"/>
            </c:ext>
          </c:extLst>
        </c:ser>
        <c:ser>
          <c:idx val="1"/>
          <c:order val="1"/>
          <c:tx>
            <c:strRef>
              <c:f>Sheet1!$C$1</c:f>
              <c:strCache>
                <c:ptCount val="1"/>
                <c:pt idx="0">
                  <c:v>Receivable Turn Over (%)</c:v>
                </c:pt>
              </c:strCache>
            </c:strRef>
          </c:tx>
          <c:invertIfNegative val="0"/>
          <c:cat>
            <c:strRef>
              <c:f>Sheet1!$A$2:$A$12</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Sheet1!$C$2:$C$12</c:f>
              <c:numCache>
                <c:formatCode>General</c:formatCode>
                <c:ptCount val="11"/>
                <c:pt idx="0">
                  <c:v>2494.73</c:v>
                </c:pt>
                <c:pt idx="1">
                  <c:v>2314.5100000000002</c:v>
                </c:pt>
                <c:pt idx="2">
                  <c:v>3135.85</c:v>
                </c:pt>
                <c:pt idx="3">
                  <c:v>2708.54</c:v>
                </c:pt>
                <c:pt idx="4">
                  <c:v>4905.7299999999996</c:v>
                </c:pt>
                <c:pt idx="5">
                  <c:v>120.1</c:v>
                </c:pt>
                <c:pt idx="6">
                  <c:v>17.489999999999998</c:v>
                </c:pt>
                <c:pt idx="7">
                  <c:v>119.74</c:v>
                </c:pt>
                <c:pt idx="8">
                  <c:v>2593.5100000000002</c:v>
                </c:pt>
                <c:pt idx="9">
                  <c:v>3353.59</c:v>
                </c:pt>
                <c:pt idx="10">
                  <c:v>1574.32</c:v>
                </c:pt>
              </c:numCache>
            </c:numRef>
          </c:val>
          <c:extLst>
            <c:ext xmlns:c16="http://schemas.microsoft.com/office/drawing/2014/chart" uri="{C3380CC4-5D6E-409C-BE32-E72D297353CC}">
              <c16:uniqueId val="{00000001-1F73-4DE3-829F-9AABA43F7CD3}"/>
            </c:ext>
          </c:extLst>
        </c:ser>
        <c:ser>
          <c:idx val="2"/>
          <c:order val="2"/>
          <c:tx>
            <c:strRef>
              <c:f>Sheet1!$D$1</c:f>
              <c:strCache>
                <c:ptCount val="1"/>
                <c:pt idx="0">
                  <c:v>Inventory Turn Over (%)</c:v>
                </c:pt>
              </c:strCache>
            </c:strRef>
          </c:tx>
          <c:invertIfNegative val="0"/>
          <c:cat>
            <c:strRef>
              <c:f>Sheet1!$A$2:$A$12</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Sheet1!$D$2:$D$12</c:f>
              <c:numCache>
                <c:formatCode>General</c:formatCode>
                <c:ptCount val="11"/>
                <c:pt idx="0">
                  <c:v>94.15</c:v>
                </c:pt>
                <c:pt idx="1">
                  <c:v>116.36</c:v>
                </c:pt>
                <c:pt idx="2">
                  <c:v>85.54</c:v>
                </c:pt>
                <c:pt idx="3">
                  <c:v>89.82</c:v>
                </c:pt>
                <c:pt idx="4">
                  <c:v>131.84</c:v>
                </c:pt>
                <c:pt idx="5">
                  <c:v>44.17</c:v>
                </c:pt>
                <c:pt idx="6">
                  <c:v>10.58</c:v>
                </c:pt>
                <c:pt idx="7">
                  <c:v>41.06</c:v>
                </c:pt>
                <c:pt idx="8">
                  <c:v>93.95</c:v>
                </c:pt>
                <c:pt idx="9">
                  <c:v>272.23</c:v>
                </c:pt>
                <c:pt idx="10">
                  <c:v>63.49</c:v>
                </c:pt>
              </c:numCache>
            </c:numRef>
          </c:val>
          <c:extLst>
            <c:ext xmlns:c16="http://schemas.microsoft.com/office/drawing/2014/chart" uri="{C3380CC4-5D6E-409C-BE32-E72D297353CC}">
              <c16:uniqueId val="{00000002-1F73-4DE3-829F-9AABA43F7CD3}"/>
            </c:ext>
          </c:extLst>
        </c:ser>
        <c:ser>
          <c:idx val="3"/>
          <c:order val="3"/>
          <c:tx>
            <c:strRef>
              <c:f>Sheet1!$E$1</c:f>
              <c:strCache>
                <c:ptCount val="1"/>
                <c:pt idx="0">
                  <c:v>Fixed Asset Turn Over (%)</c:v>
                </c:pt>
              </c:strCache>
            </c:strRef>
          </c:tx>
          <c:invertIfNegative val="0"/>
          <c:cat>
            <c:strRef>
              <c:f>Sheet1!$A$2:$A$12</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Sheet1!$E$2:$E$12</c:f>
              <c:numCache>
                <c:formatCode>General</c:formatCode>
                <c:ptCount val="11"/>
                <c:pt idx="0">
                  <c:v>71.31</c:v>
                </c:pt>
                <c:pt idx="1">
                  <c:v>100.22</c:v>
                </c:pt>
                <c:pt idx="2">
                  <c:v>100.72</c:v>
                </c:pt>
                <c:pt idx="3">
                  <c:v>158.87</c:v>
                </c:pt>
                <c:pt idx="4">
                  <c:v>206.93</c:v>
                </c:pt>
                <c:pt idx="5">
                  <c:v>55.12</c:v>
                </c:pt>
                <c:pt idx="6">
                  <c:v>9.67</c:v>
                </c:pt>
                <c:pt idx="7">
                  <c:v>15.31</c:v>
                </c:pt>
                <c:pt idx="8">
                  <c:v>49.16</c:v>
                </c:pt>
                <c:pt idx="9">
                  <c:v>62.95</c:v>
                </c:pt>
                <c:pt idx="10">
                  <c:v>89.18</c:v>
                </c:pt>
              </c:numCache>
            </c:numRef>
          </c:val>
          <c:extLst>
            <c:ext xmlns:c16="http://schemas.microsoft.com/office/drawing/2014/chart" uri="{C3380CC4-5D6E-409C-BE32-E72D297353CC}">
              <c16:uniqueId val="{00000003-1F73-4DE3-829F-9AABA43F7CD3}"/>
            </c:ext>
          </c:extLst>
        </c:ser>
        <c:ser>
          <c:idx val="4"/>
          <c:order val="4"/>
          <c:tx>
            <c:strRef>
              <c:f>Sheet1!$F$1</c:f>
              <c:strCache>
                <c:ptCount val="1"/>
                <c:pt idx="0">
                  <c:v>Total Asset Turn Over (%)</c:v>
                </c:pt>
              </c:strCache>
            </c:strRef>
          </c:tx>
          <c:invertIfNegative val="0"/>
          <c:cat>
            <c:strRef>
              <c:f>Sheet1!$A$2:$A$12</c:f>
              <c:strCache>
                <c:ptCount val="11"/>
                <c:pt idx="0">
                  <c:v>2015</c:v>
                </c:pt>
                <c:pt idx="1">
                  <c:v>2016</c:v>
                </c:pt>
                <c:pt idx="2">
                  <c:v>2017</c:v>
                </c:pt>
                <c:pt idx="3">
                  <c:v>2018</c:v>
                </c:pt>
                <c:pt idx="4">
                  <c:v>2019</c:v>
                </c:pt>
                <c:pt idx="5">
                  <c:v>2020</c:v>
                </c:pt>
                <c:pt idx="6">
                  <c:v>2021</c:v>
                </c:pt>
                <c:pt idx="7">
                  <c:v>2022</c:v>
                </c:pt>
                <c:pt idx="8">
                  <c:v>2023</c:v>
                </c:pt>
                <c:pt idx="9">
                  <c:v>2024</c:v>
                </c:pt>
                <c:pt idx="10">
                  <c:v>Avarage</c:v>
                </c:pt>
              </c:strCache>
            </c:strRef>
          </c:cat>
          <c:val>
            <c:numRef>
              <c:f>Sheet1!$F$2:$F$12</c:f>
              <c:numCache>
                <c:formatCode>General</c:formatCode>
                <c:ptCount val="11"/>
                <c:pt idx="0">
                  <c:v>23.06</c:v>
                </c:pt>
                <c:pt idx="1">
                  <c:v>29.63</c:v>
                </c:pt>
                <c:pt idx="2">
                  <c:v>27.62</c:v>
                </c:pt>
                <c:pt idx="3">
                  <c:v>32.06</c:v>
                </c:pt>
                <c:pt idx="4">
                  <c:v>38.68</c:v>
                </c:pt>
                <c:pt idx="5">
                  <c:v>7.85</c:v>
                </c:pt>
                <c:pt idx="6">
                  <c:v>1.55</c:v>
                </c:pt>
                <c:pt idx="7">
                  <c:v>4.99</c:v>
                </c:pt>
                <c:pt idx="8">
                  <c:v>14.62</c:v>
                </c:pt>
                <c:pt idx="9">
                  <c:v>17.95</c:v>
                </c:pt>
                <c:pt idx="10">
                  <c:v>17.03</c:v>
                </c:pt>
              </c:numCache>
            </c:numRef>
          </c:val>
          <c:extLst>
            <c:ext xmlns:c16="http://schemas.microsoft.com/office/drawing/2014/chart" uri="{C3380CC4-5D6E-409C-BE32-E72D297353CC}">
              <c16:uniqueId val="{00000004-1F73-4DE3-829F-9AABA43F7CD3}"/>
            </c:ext>
          </c:extLst>
        </c:ser>
        <c:dLbls>
          <c:showLegendKey val="0"/>
          <c:showVal val="0"/>
          <c:showCatName val="0"/>
          <c:showSerName val="0"/>
          <c:showPercent val="0"/>
          <c:showBubbleSize val="0"/>
        </c:dLbls>
        <c:gapWidth val="150"/>
        <c:axId val="124960128"/>
        <c:axId val="124966016"/>
      </c:barChart>
      <c:catAx>
        <c:axId val="124960128"/>
        <c:scaling>
          <c:orientation val="minMax"/>
        </c:scaling>
        <c:delete val="0"/>
        <c:axPos val="l"/>
        <c:numFmt formatCode="General" sourceLinked="0"/>
        <c:majorTickMark val="out"/>
        <c:minorTickMark val="none"/>
        <c:tickLblPos val="nextTo"/>
        <c:crossAx val="124966016"/>
        <c:crosses val="autoZero"/>
        <c:auto val="1"/>
        <c:lblAlgn val="ctr"/>
        <c:lblOffset val="100"/>
        <c:noMultiLvlLbl val="0"/>
      </c:catAx>
      <c:valAx>
        <c:axId val="124966016"/>
        <c:scaling>
          <c:orientation val="minMax"/>
        </c:scaling>
        <c:delete val="0"/>
        <c:axPos val="b"/>
        <c:majorGridlines/>
        <c:numFmt formatCode="General" sourceLinked="1"/>
        <c:majorTickMark val="out"/>
        <c:minorTickMark val="none"/>
        <c:tickLblPos val="nextTo"/>
        <c:crossAx val="12496012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Sheet1!$B$1</c:f>
              <c:strCache>
                <c:ptCount val="1"/>
                <c:pt idx="0">
                  <c:v>GPM (%)</c:v>
                </c:pt>
              </c:strCache>
            </c:strRef>
          </c:tx>
          <c:invertIfNegative val="0"/>
          <c:cat>
            <c:strRef>
              <c:f>Sheet1!$A$2:$A$13</c:f>
              <c:strCache>
                <c:ptCount val="12"/>
                <c:pt idx="1">
                  <c:v>2015</c:v>
                </c:pt>
                <c:pt idx="2">
                  <c:v>2016</c:v>
                </c:pt>
                <c:pt idx="3">
                  <c:v>2017</c:v>
                </c:pt>
                <c:pt idx="4">
                  <c:v>2018</c:v>
                </c:pt>
                <c:pt idx="5">
                  <c:v>2019</c:v>
                </c:pt>
                <c:pt idx="6">
                  <c:v>2020</c:v>
                </c:pt>
                <c:pt idx="7">
                  <c:v>2021</c:v>
                </c:pt>
                <c:pt idx="8">
                  <c:v>2022</c:v>
                </c:pt>
                <c:pt idx="9">
                  <c:v>2023</c:v>
                </c:pt>
                <c:pt idx="10">
                  <c:v>2024</c:v>
                </c:pt>
                <c:pt idx="11">
                  <c:v>Avarage</c:v>
                </c:pt>
              </c:strCache>
            </c:strRef>
          </c:cat>
          <c:val>
            <c:numRef>
              <c:f>Sheet1!$B$2:$B$13</c:f>
              <c:numCache>
                <c:formatCode>General</c:formatCode>
                <c:ptCount val="12"/>
                <c:pt idx="1">
                  <c:v>46.74</c:v>
                </c:pt>
                <c:pt idx="2">
                  <c:v>45</c:v>
                </c:pt>
                <c:pt idx="3">
                  <c:v>46.22</c:v>
                </c:pt>
                <c:pt idx="4">
                  <c:v>48.1</c:v>
                </c:pt>
                <c:pt idx="5">
                  <c:v>48.24</c:v>
                </c:pt>
                <c:pt idx="6">
                  <c:v>51.95</c:v>
                </c:pt>
                <c:pt idx="7">
                  <c:v>55.04</c:v>
                </c:pt>
                <c:pt idx="8">
                  <c:v>52.98</c:v>
                </c:pt>
                <c:pt idx="9">
                  <c:v>53.82</c:v>
                </c:pt>
                <c:pt idx="10">
                  <c:v>50.11</c:v>
                </c:pt>
                <c:pt idx="11">
                  <c:v>51.26</c:v>
                </c:pt>
              </c:numCache>
            </c:numRef>
          </c:val>
          <c:extLst>
            <c:ext xmlns:c16="http://schemas.microsoft.com/office/drawing/2014/chart" uri="{C3380CC4-5D6E-409C-BE32-E72D297353CC}">
              <c16:uniqueId val="{00000000-997C-4C2C-877E-3E0C4F1B211E}"/>
            </c:ext>
          </c:extLst>
        </c:ser>
        <c:ser>
          <c:idx val="1"/>
          <c:order val="1"/>
          <c:tx>
            <c:strRef>
              <c:f>Sheet1!$C$1</c:f>
              <c:strCache>
                <c:ptCount val="1"/>
                <c:pt idx="0">
                  <c:v>OPM (%)</c:v>
                </c:pt>
              </c:strCache>
            </c:strRef>
          </c:tx>
          <c:invertIfNegative val="0"/>
          <c:cat>
            <c:strRef>
              <c:f>Sheet1!$A$2:$A$13</c:f>
              <c:strCache>
                <c:ptCount val="12"/>
                <c:pt idx="1">
                  <c:v>2015</c:v>
                </c:pt>
                <c:pt idx="2">
                  <c:v>2016</c:v>
                </c:pt>
                <c:pt idx="3">
                  <c:v>2017</c:v>
                </c:pt>
                <c:pt idx="4">
                  <c:v>2018</c:v>
                </c:pt>
                <c:pt idx="5">
                  <c:v>2019</c:v>
                </c:pt>
                <c:pt idx="6">
                  <c:v>2020</c:v>
                </c:pt>
                <c:pt idx="7">
                  <c:v>2021</c:v>
                </c:pt>
                <c:pt idx="8">
                  <c:v>2022</c:v>
                </c:pt>
                <c:pt idx="9">
                  <c:v>2023</c:v>
                </c:pt>
                <c:pt idx="10">
                  <c:v>2024</c:v>
                </c:pt>
                <c:pt idx="11">
                  <c:v>Avarage</c:v>
                </c:pt>
              </c:strCache>
            </c:strRef>
          </c:cat>
          <c:val>
            <c:numRef>
              <c:f>Sheet1!$C$2:$C$13</c:f>
              <c:numCache>
                <c:formatCode>General</c:formatCode>
                <c:ptCount val="12"/>
                <c:pt idx="1">
                  <c:v>6.91</c:v>
                </c:pt>
                <c:pt idx="2">
                  <c:v>-0.1</c:v>
                </c:pt>
                <c:pt idx="3">
                  <c:v>6.23</c:v>
                </c:pt>
                <c:pt idx="4">
                  <c:v>9.9700000000000006</c:v>
                </c:pt>
                <c:pt idx="5">
                  <c:v>5.19</c:v>
                </c:pt>
                <c:pt idx="6">
                  <c:v>-68.069999999999993</c:v>
                </c:pt>
                <c:pt idx="7">
                  <c:v>-155.81</c:v>
                </c:pt>
                <c:pt idx="8">
                  <c:v>-19.96</c:v>
                </c:pt>
                <c:pt idx="9">
                  <c:v>3.34</c:v>
                </c:pt>
                <c:pt idx="10">
                  <c:v>4.29</c:v>
                </c:pt>
                <c:pt idx="11">
                  <c:v>-45.74</c:v>
                </c:pt>
              </c:numCache>
            </c:numRef>
          </c:val>
          <c:extLst>
            <c:ext xmlns:c16="http://schemas.microsoft.com/office/drawing/2014/chart" uri="{C3380CC4-5D6E-409C-BE32-E72D297353CC}">
              <c16:uniqueId val="{00000001-997C-4C2C-877E-3E0C4F1B211E}"/>
            </c:ext>
          </c:extLst>
        </c:ser>
        <c:ser>
          <c:idx val="2"/>
          <c:order val="2"/>
          <c:tx>
            <c:strRef>
              <c:f>Sheet1!$D$1</c:f>
              <c:strCache>
                <c:ptCount val="1"/>
                <c:pt idx="0">
                  <c:v>NPM or PM</c:v>
                </c:pt>
              </c:strCache>
            </c:strRef>
          </c:tx>
          <c:invertIfNegative val="0"/>
          <c:cat>
            <c:strRef>
              <c:f>Sheet1!$A$2:$A$13</c:f>
              <c:strCache>
                <c:ptCount val="12"/>
                <c:pt idx="1">
                  <c:v>2015</c:v>
                </c:pt>
                <c:pt idx="2">
                  <c:v>2016</c:v>
                </c:pt>
                <c:pt idx="3">
                  <c:v>2017</c:v>
                </c:pt>
                <c:pt idx="4">
                  <c:v>2018</c:v>
                </c:pt>
                <c:pt idx="5">
                  <c:v>2019</c:v>
                </c:pt>
                <c:pt idx="6">
                  <c:v>2020</c:v>
                </c:pt>
                <c:pt idx="7">
                  <c:v>2021</c:v>
                </c:pt>
                <c:pt idx="8">
                  <c:v>2022</c:v>
                </c:pt>
                <c:pt idx="9">
                  <c:v>2023</c:v>
                </c:pt>
                <c:pt idx="10">
                  <c:v>2024</c:v>
                </c:pt>
                <c:pt idx="11">
                  <c:v>Avarage</c:v>
                </c:pt>
              </c:strCache>
            </c:strRef>
          </c:cat>
          <c:val>
            <c:numRef>
              <c:f>Sheet1!$D$2:$D$13</c:f>
              <c:numCache>
                <c:formatCode>General</c:formatCode>
                <c:ptCount val="12"/>
                <c:pt idx="0">
                  <c:v>0</c:v>
                </c:pt>
                <c:pt idx="1">
                  <c:v>2.58</c:v>
                </c:pt>
                <c:pt idx="2">
                  <c:v>-1.02</c:v>
                </c:pt>
                <c:pt idx="3">
                  <c:v>3.42</c:v>
                </c:pt>
                <c:pt idx="4">
                  <c:v>6.25</c:v>
                </c:pt>
                <c:pt idx="5">
                  <c:v>4.4800000000000004</c:v>
                </c:pt>
                <c:pt idx="6">
                  <c:v>-53.58</c:v>
                </c:pt>
                <c:pt idx="7">
                  <c:v>-84.43</c:v>
                </c:pt>
                <c:pt idx="8">
                  <c:v>-15.15</c:v>
                </c:pt>
                <c:pt idx="9">
                  <c:v>-1.4</c:v>
                </c:pt>
                <c:pt idx="10">
                  <c:v>4.53</c:v>
                </c:pt>
                <c:pt idx="11">
                  <c:v>-28.49</c:v>
                </c:pt>
              </c:numCache>
            </c:numRef>
          </c:val>
          <c:extLst>
            <c:ext xmlns:c16="http://schemas.microsoft.com/office/drawing/2014/chart" uri="{C3380CC4-5D6E-409C-BE32-E72D297353CC}">
              <c16:uniqueId val="{00000002-997C-4C2C-877E-3E0C4F1B211E}"/>
            </c:ext>
          </c:extLst>
        </c:ser>
        <c:ser>
          <c:idx val="3"/>
          <c:order val="3"/>
          <c:tx>
            <c:strRef>
              <c:f>Sheet1!$E$1</c:f>
              <c:strCache>
                <c:ptCount val="1"/>
                <c:pt idx="0">
                  <c:v>ROI or ROA</c:v>
                </c:pt>
              </c:strCache>
            </c:strRef>
          </c:tx>
          <c:invertIfNegative val="0"/>
          <c:cat>
            <c:strRef>
              <c:f>Sheet1!$A$2:$A$13</c:f>
              <c:strCache>
                <c:ptCount val="12"/>
                <c:pt idx="1">
                  <c:v>2015</c:v>
                </c:pt>
                <c:pt idx="2">
                  <c:v>2016</c:v>
                </c:pt>
                <c:pt idx="3">
                  <c:v>2017</c:v>
                </c:pt>
                <c:pt idx="4">
                  <c:v>2018</c:v>
                </c:pt>
                <c:pt idx="5">
                  <c:v>2019</c:v>
                </c:pt>
                <c:pt idx="6">
                  <c:v>2020</c:v>
                </c:pt>
                <c:pt idx="7">
                  <c:v>2021</c:v>
                </c:pt>
                <c:pt idx="8">
                  <c:v>2022</c:v>
                </c:pt>
                <c:pt idx="9">
                  <c:v>2023</c:v>
                </c:pt>
                <c:pt idx="10">
                  <c:v>2024</c:v>
                </c:pt>
                <c:pt idx="11">
                  <c:v>Avarage</c:v>
                </c:pt>
              </c:strCache>
            </c:strRef>
          </c:cat>
          <c:val>
            <c:numRef>
              <c:f>Sheet1!$E$2:$E$13</c:f>
              <c:numCache>
                <c:formatCode>General</c:formatCode>
                <c:ptCount val="12"/>
                <c:pt idx="0">
                  <c:v>0</c:v>
                </c:pt>
                <c:pt idx="1">
                  <c:v>3.25</c:v>
                </c:pt>
                <c:pt idx="2">
                  <c:v>-1.41</c:v>
                </c:pt>
                <c:pt idx="3">
                  <c:v>4.74</c:v>
                </c:pt>
                <c:pt idx="4">
                  <c:v>9.8699999999999992</c:v>
                </c:pt>
                <c:pt idx="5">
                  <c:v>7.05</c:v>
                </c:pt>
                <c:pt idx="6">
                  <c:v>-15.41</c:v>
                </c:pt>
                <c:pt idx="7">
                  <c:v>-7.74</c:v>
                </c:pt>
                <c:pt idx="8">
                  <c:v>-4.95</c:v>
                </c:pt>
                <c:pt idx="9">
                  <c:v>-1.1000000000000001</c:v>
                </c:pt>
                <c:pt idx="10">
                  <c:v>4.2300000000000004</c:v>
                </c:pt>
                <c:pt idx="11">
                  <c:v>23.48</c:v>
                </c:pt>
              </c:numCache>
            </c:numRef>
          </c:val>
          <c:extLst>
            <c:ext xmlns:c16="http://schemas.microsoft.com/office/drawing/2014/chart" uri="{C3380CC4-5D6E-409C-BE32-E72D297353CC}">
              <c16:uniqueId val="{00000003-997C-4C2C-877E-3E0C4F1B211E}"/>
            </c:ext>
          </c:extLst>
        </c:ser>
        <c:ser>
          <c:idx val="4"/>
          <c:order val="4"/>
          <c:tx>
            <c:strRef>
              <c:f>Sheet1!$F$1</c:f>
              <c:strCache>
                <c:ptCount val="1"/>
                <c:pt idx="0">
                  <c:v>ROE (%)</c:v>
                </c:pt>
              </c:strCache>
            </c:strRef>
          </c:tx>
          <c:invertIfNegative val="0"/>
          <c:cat>
            <c:strRef>
              <c:f>Sheet1!$A$2:$A$13</c:f>
              <c:strCache>
                <c:ptCount val="12"/>
                <c:pt idx="1">
                  <c:v>2015</c:v>
                </c:pt>
                <c:pt idx="2">
                  <c:v>2016</c:v>
                </c:pt>
                <c:pt idx="3">
                  <c:v>2017</c:v>
                </c:pt>
                <c:pt idx="4">
                  <c:v>2018</c:v>
                </c:pt>
                <c:pt idx="5">
                  <c:v>2019</c:v>
                </c:pt>
                <c:pt idx="6">
                  <c:v>2020</c:v>
                </c:pt>
                <c:pt idx="7">
                  <c:v>2021</c:v>
                </c:pt>
                <c:pt idx="8">
                  <c:v>2022</c:v>
                </c:pt>
                <c:pt idx="9">
                  <c:v>2023</c:v>
                </c:pt>
                <c:pt idx="10">
                  <c:v>2024</c:v>
                </c:pt>
                <c:pt idx="11">
                  <c:v>Avarage</c:v>
                </c:pt>
              </c:strCache>
            </c:strRef>
          </c:cat>
          <c:val>
            <c:numRef>
              <c:f>Sheet1!$F$2:$F$13</c:f>
              <c:numCache>
                <c:formatCode>General</c:formatCode>
                <c:ptCount val="12"/>
                <c:pt idx="1">
                  <c:v>19.690000000000001</c:v>
                </c:pt>
                <c:pt idx="2">
                  <c:v>21.69</c:v>
                </c:pt>
                <c:pt idx="3">
                  <c:v>19.600000000000001</c:v>
                </c:pt>
                <c:pt idx="4">
                  <c:v>17.88</c:v>
                </c:pt>
                <c:pt idx="5">
                  <c:v>20.149999999999999</c:v>
                </c:pt>
                <c:pt idx="6">
                  <c:v>26.2</c:v>
                </c:pt>
                <c:pt idx="7">
                  <c:v>30.23</c:v>
                </c:pt>
                <c:pt idx="8">
                  <c:v>22.94</c:v>
                </c:pt>
                <c:pt idx="9">
                  <c:v>24.87</c:v>
                </c:pt>
                <c:pt idx="10">
                  <c:v>24.53</c:v>
                </c:pt>
                <c:pt idx="11">
                  <c:v>23.48</c:v>
                </c:pt>
              </c:numCache>
            </c:numRef>
          </c:val>
          <c:extLst>
            <c:ext xmlns:c16="http://schemas.microsoft.com/office/drawing/2014/chart" uri="{C3380CC4-5D6E-409C-BE32-E72D297353CC}">
              <c16:uniqueId val="{00000004-997C-4C2C-877E-3E0C4F1B211E}"/>
            </c:ext>
          </c:extLst>
        </c:ser>
        <c:ser>
          <c:idx val="5"/>
          <c:order val="5"/>
          <c:tx>
            <c:strRef>
              <c:f>Sheet1!$G$1</c:f>
              <c:strCache>
                <c:ptCount val="1"/>
                <c:pt idx="0">
                  <c:v>EPS</c:v>
                </c:pt>
              </c:strCache>
            </c:strRef>
          </c:tx>
          <c:invertIfNegative val="0"/>
          <c:cat>
            <c:strRef>
              <c:f>Sheet1!$A$2:$A$13</c:f>
              <c:strCache>
                <c:ptCount val="12"/>
                <c:pt idx="1">
                  <c:v>2015</c:v>
                </c:pt>
                <c:pt idx="2">
                  <c:v>2016</c:v>
                </c:pt>
                <c:pt idx="3">
                  <c:v>2017</c:v>
                </c:pt>
                <c:pt idx="4">
                  <c:v>2018</c:v>
                </c:pt>
                <c:pt idx="5">
                  <c:v>2019</c:v>
                </c:pt>
                <c:pt idx="6">
                  <c:v>2020</c:v>
                </c:pt>
                <c:pt idx="7">
                  <c:v>2021</c:v>
                </c:pt>
                <c:pt idx="8">
                  <c:v>2022</c:v>
                </c:pt>
                <c:pt idx="9">
                  <c:v>2023</c:v>
                </c:pt>
                <c:pt idx="10">
                  <c:v>2024</c:v>
                </c:pt>
                <c:pt idx="11">
                  <c:v>Avarage</c:v>
                </c:pt>
              </c:strCache>
            </c:strRef>
          </c:cat>
          <c:val>
            <c:numRef>
              <c:f>Sheet1!$G$2:$G$13</c:f>
              <c:numCache>
                <c:formatCode>General</c:formatCode>
                <c:ptCount val="12"/>
                <c:pt idx="1">
                  <c:v>111.43</c:v>
                </c:pt>
                <c:pt idx="2">
                  <c:v>-44.02</c:v>
                </c:pt>
                <c:pt idx="3">
                  <c:v>163.26</c:v>
                </c:pt>
                <c:pt idx="4">
                  <c:v>372.8</c:v>
                </c:pt>
                <c:pt idx="5">
                  <c:v>236.41</c:v>
                </c:pt>
                <c:pt idx="6">
                  <c:v>-397.21</c:v>
                </c:pt>
                <c:pt idx="7">
                  <c:v>-173.01</c:v>
                </c:pt>
                <c:pt idx="8">
                  <c:v>-145.80000000000001</c:v>
                </c:pt>
                <c:pt idx="9">
                  <c:v>-29.93</c:v>
                </c:pt>
                <c:pt idx="10">
                  <c:v>58.23</c:v>
                </c:pt>
                <c:pt idx="11">
                  <c:v>-21.36</c:v>
                </c:pt>
              </c:numCache>
            </c:numRef>
          </c:val>
          <c:extLst>
            <c:ext xmlns:c16="http://schemas.microsoft.com/office/drawing/2014/chart" uri="{C3380CC4-5D6E-409C-BE32-E72D297353CC}">
              <c16:uniqueId val="{00000005-997C-4C2C-877E-3E0C4F1B211E}"/>
            </c:ext>
          </c:extLst>
        </c:ser>
        <c:ser>
          <c:idx val="6"/>
          <c:order val="6"/>
          <c:tx>
            <c:strRef>
              <c:f>Sheet1!$H$1</c:f>
              <c:strCache>
                <c:ptCount val="1"/>
                <c:pt idx="0">
                  <c:v>DPS</c:v>
                </c:pt>
              </c:strCache>
            </c:strRef>
          </c:tx>
          <c:invertIfNegative val="0"/>
          <c:cat>
            <c:strRef>
              <c:f>Sheet1!$A$2:$A$13</c:f>
              <c:strCache>
                <c:ptCount val="12"/>
                <c:pt idx="1">
                  <c:v>2015</c:v>
                </c:pt>
                <c:pt idx="2">
                  <c:v>2016</c:v>
                </c:pt>
                <c:pt idx="3">
                  <c:v>2017</c:v>
                </c:pt>
                <c:pt idx="4">
                  <c:v>2018</c:v>
                </c:pt>
                <c:pt idx="5">
                  <c:v>2019</c:v>
                </c:pt>
                <c:pt idx="6">
                  <c:v>2020</c:v>
                </c:pt>
                <c:pt idx="7">
                  <c:v>2021</c:v>
                </c:pt>
                <c:pt idx="8">
                  <c:v>2022</c:v>
                </c:pt>
                <c:pt idx="9">
                  <c:v>2023</c:v>
                </c:pt>
                <c:pt idx="10">
                  <c:v>2024</c:v>
                </c:pt>
                <c:pt idx="11">
                  <c:v>Avarage</c:v>
                </c:pt>
              </c:strCache>
            </c:strRef>
          </c:cat>
          <c:val>
            <c:numRef>
              <c:f>Sheet1!$H$2:$H$13</c:f>
              <c:numCache>
                <c:formatCode>General</c:formatCode>
                <c:ptCount val="12"/>
                <c:pt idx="1">
                  <c:v>126.64</c:v>
                </c:pt>
                <c:pt idx="2">
                  <c:v>-55.97</c:v>
                </c:pt>
                <c:pt idx="3">
                  <c:v>158.12</c:v>
                </c:pt>
                <c:pt idx="4">
                  <c:v>377.72</c:v>
                </c:pt>
                <c:pt idx="5">
                  <c:v>214.34</c:v>
                </c:pt>
                <c:pt idx="6">
                  <c:v>-391.22</c:v>
                </c:pt>
                <c:pt idx="7">
                  <c:v>-167.78</c:v>
                </c:pt>
                <c:pt idx="8">
                  <c:v>-144.97999999999999</c:v>
                </c:pt>
                <c:pt idx="9">
                  <c:v>-22.77</c:v>
                </c:pt>
                <c:pt idx="10">
                  <c:v>65.900000000000006</c:v>
                </c:pt>
                <c:pt idx="11">
                  <c:v>-22.38</c:v>
                </c:pt>
              </c:numCache>
            </c:numRef>
          </c:val>
          <c:extLst>
            <c:ext xmlns:c16="http://schemas.microsoft.com/office/drawing/2014/chart" uri="{C3380CC4-5D6E-409C-BE32-E72D297353CC}">
              <c16:uniqueId val="{00000006-997C-4C2C-877E-3E0C4F1B211E}"/>
            </c:ext>
          </c:extLst>
        </c:ser>
        <c:dLbls>
          <c:showLegendKey val="0"/>
          <c:showVal val="0"/>
          <c:showCatName val="0"/>
          <c:showSerName val="0"/>
          <c:showPercent val="0"/>
          <c:showBubbleSize val="0"/>
        </c:dLbls>
        <c:gapWidth val="150"/>
        <c:axId val="124978688"/>
        <c:axId val="124980224"/>
      </c:barChart>
      <c:catAx>
        <c:axId val="124978688"/>
        <c:scaling>
          <c:orientation val="minMax"/>
        </c:scaling>
        <c:delete val="0"/>
        <c:axPos val="l"/>
        <c:numFmt formatCode="General" sourceLinked="1"/>
        <c:majorTickMark val="out"/>
        <c:minorTickMark val="none"/>
        <c:tickLblPos val="nextTo"/>
        <c:crossAx val="124980224"/>
        <c:crosses val="autoZero"/>
        <c:auto val="1"/>
        <c:lblAlgn val="ctr"/>
        <c:lblOffset val="100"/>
        <c:noMultiLvlLbl val="0"/>
      </c:catAx>
      <c:valAx>
        <c:axId val="124980224"/>
        <c:scaling>
          <c:orientation val="minMax"/>
        </c:scaling>
        <c:delete val="0"/>
        <c:axPos val="b"/>
        <c:majorGridlines/>
        <c:numFmt formatCode="General" sourceLinked="1"/>
        <c:majorTickMark val="out"/>
        <c:minorTickMark val="none"/>
        <c:tickLblPos val="nextTo"/>
        <c:crossAx val="1249786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92B4-A876-40FE-A4E9-11B90B44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13</Pages>
  <Words>4519</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TURNITIN 2</cp:lastModifiedBy>
  <cp:revision>3</cp:revision>
  <dcterms:created xsi:type="dcterms:W3CDTF">2025-11-26T05:50:00Z</dcterms:created>
  <dcterms:modified xsi:type="dcterms:W3CDTF">2026-01-06T08:01:00Z</dcterms:modified>
</cp:coreProperties>
</file>