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021E8" w14:textId="07FEC43B" w:rsidR="003657D6" w:rsidRPr="003657D6" w:rsidRDefault="00C72B4E" w:rsidP="003657D6">
      <w:pPr>
        <w:spacing w:line="240" w:lineRule="auto"/>
        <w:jc w:val="center"/>
        <w:rPr>
          <w:rFonts w:ascii="Book Antiqua" w:hAnsi="Book Antiqua" w:cs="Times New Roman"/>
          <w:b/>
          <w:bCs/>
          <w:sz w:val="28"/>
          <w:szCs w:val="28"/>
        </w:rPr>
      </w:pPr>
      <w:r w:rsidRPr="003657D6">
        <w:rPr>
          <w:rFonts w:ascii="Book Antiqua" w:hAnsi="Book Antiqua" w:cs="Times New Roman"/>
          <w:b/>
          <w:bCs/>
          <w:sz w:val="28"/>
          <w:szCs w:val="28"/>
        </w:rPr>
        <w:t xml:space="preserve">Analysis </w:t>
      </w:r>
      <w:proofErr w:type="gramStart"/>
      <w:r w:rsidRPr="003657D6">
        <w:rPr>
          <w:rFonts w:ascii="Book Antiqua" w:hAnsi="Book Antiqua" w:cs="Times New Roman"/>
          <w:b/>
          <w:bCs/>
          <w:sz w:val="28"/>
          <w:szCs w:val="28"/>
        </w:rPr>
        <w:t>Of</w:t>
      </w:r>
      <w:proofErr w:type="gramEnd"/>
      <w:r w:rsidRPr="003657D6">
        <w:rPr>
          <w:rFonts w:ascii="Book Antiqua" w:hAnsi="Book Antiqua" w:cs="Times New Roman"/>
          <w:b/>
          <w:bCs/>
          <w:sz w:val="28"/>
          <w:szCs w:val="28"/>
        </w:rPr>
        <w:t xml:space="preserve"> Liquidity, Activity, Solvency, And Profitability Ratios To Measure Financial Performance At P</w:t>
      </w:r>
      <w:r>
        <w:rPr>
          <w:rFonts w:ascii="Book Antiqua" w:hAnsi="Book Antiqua" w:cs="Times New Roman"/>
          <w:b/>
          <w:bCs/>
          <w:sz w:val="28"/>
          <w:szCs w:val="28"/>
        </w:rPr>
        <w:t>T</w:t>
      </w:r>
      <w:r w:rsidRPr="003657D6">
        <w:rPr>
          <w:rFonts w:ascii="Book Antiqua" w:hAnsi="Book Antiqua" w:cs="Times New Roman"/>
          <w:b/>
          <w:bCs/>
          <w:sz w:val="28"/>
          <w:szCs w:val="28"/>
        </w:rPr>
        <w:t xml:space="preserve">. </w:t>
      </w:r>
      <w:proofErr w:type="spellStart"/>
      <w:r w:rsidRPr="003657D6">
        <w:rPr>
          <w:rFonts w:ascii="Book Antiqua" w:hAnsi="Book Antiqua" w:cs="Times New Roman"/>
          <w:b/>
          <w:bCs/>
          <w:sz w:val="28"/>
          <w:szCs w:val="28"/>
        </w:rPr>
        <w:t>Solusi</w:t>
      </w:r>
      <w:proofErr w:type="spellEnd"/>
      <w:r w:rsidRPr="003657D6">
        <w:rPr>
          <w:rFonts w:ascii="Book Antiqua" w:hAnsi="Book Antiqua" w:cs="Times New Roman"/>
          <w:b/>
          <w:bCs/>
          <w:sz w:val="28"/>
          <w:szCs w:val="28"/>
        </w:rPr>
        <w:t xml:space="preserve"> Tunas </w:t>
      </w:r>
      <w:proofErr w:type="spellStart"/>
      <w:r w:rsidRPr="003657D6">
        <w:rPr>
          <w:rFonts w:ascii="Book Antiqua" w:hAnsi="Book Antiqua" w:cs="Times New Roman"/>
          <w:b/>
          <w:bCs/>
          <w:sz w:val="28"/>
          <w:szCs w:val="28"/>
        </w:rPr>
        <w:t>Pratama</w:t>
      </w:r>
      <w:proofErr w:type="spellEnd"/>
      <w:r w:rsidRPr="003657D6">
        <w:rPr>
          <w:rFonts w:ascii="Book Antiqua" w:hAnsi="Book Antiqua" w:cs="Times New Roman"/>
          <w:b/>
          <w:bCs/>
          <w:sz w:val="28"/>
          <w:szCs w:val="28"/>
        </w:rPr>
        <w:t xml:space="preserve">, </w:t>
      </w:r>
      <w:proofErr w:type="spellStart"/>
      <w:r w:rsidRPr="003657D6">
        <w:rPr>
          <w:rFonts w:ascii="Book Antiqua" w:hAnsi="Book Antiqua" w:cs="Times New Roman"/>
          <w:b/>
          <w:bCs/>
          <w:sz w:val="28"/>
          <w:szCs w:val="28"/>
        </w:rPr>
        <w:t>Tbk</w:t>
      </w:r>
      <w:proofErr w:type="spellEnd"/>
      <w:r w:rsidRPr="003657D6">
        <w:rPr>
          <w:rFonts w:ascii="Book Antiqua" w:hAnsi="Book Antiqua" w:cs="Times New Roman"/>
          <w:b/>
          <w:bCs/>
          <w:sz w:val="28"/>
          <w:szCs w:val="28"/>
        </w:rPr>
        <w:t xml:space="preserve"> For The Period 2015-2024</w:t>
      </w:r>
    </w:p>
    <w:p w14:paraId="1ECB4D94" w14:textId="192E62C8" w:rsidR="00EA29E4" w:rsidRPr="00561D13" w:rsidRDefault="00EA29E4" w:rsidP="00C72B4E">
      <w:pPr>
        <w:spacing w:after="0" w:line="240" w:lineRule="auto"/>
        <w:jc w:val="center"/>
        <w:rPr>
          <w:rFonts w:ascii="Book Antiqua" w:hAnsi="Book Antiqua" w:cs="Times New Roman"/>
        </w:rPr>
      </w:pPr>
      <w:proofErr w:type="spellStart"/>
      <w:r w:rsidRPr="00561D13">
        <w:rPr>
          <w:rFonts w:ascii="Book Antiqua" w:hAnsi="Book Antiqua" w:cs="Times New Roman"/>
        </w:rPr>
        <w:t>Aliffiah</w:t>
      </w:r>
      <w:proofErr w:type="spellEnd"/>
      <w:r w:rsidRPr="00561D13">
        <w:rPr>
          <w:rFonts w:ascii="Book Antiqua" w:hAnsi="Book Antiqua" w:cs="Times New Roman"/>
        </w:rPr>
        <w:t xml:space="preserve"> </w:t>
      </w:r>
      <w:proofErr w:type="spellStart"/>
      <w:r w:rsidRPr="00561D13">
        <w:rPr>
          <w:rFonts w:ascii="Book Antiqua" w:hAnsi="Book Antiqua" w:cs="Times New Roman"/>
        </w:rPr>
        <w:t>Durrotul</w:t>
      </w:r>
      <w:proofErr w:type="spellEnd"/>
      <w:r w:rsidRPr="00561D13">
        <w:rPr>
          <w:rFonts w:ascii="Book Antiqua" w:hAnsi="Book Antiqua" w:cs="Times New Roman"/>
        </w:rPr>
        <w:t xml:space="preserve"> Hikmah</w:t>
      </w:r>
    </w:p>
    <w:p w14:paraId="10D7BAC0" w14:textId="23905904" w:rsidR="003657D6" w:rsidRPr="003657D6" w:rsidRDefault="003657D6" w:rsidP="00C72B4E">
      <w:pPr>
        <w:spacing w:after="0" w:line="240" w:lineRule="auto"/>
        <w:jc w:val="center"/>
        <w:rPr>
          <w:rFonts w:ascii="Book Antiqua" w:hAnsi="Book Antiqua" w:cs="Times New Roman"/>
        </w:rPr>
      </w:pPr>
      <w:r w:rsidRPr="003657D6">
        <w:rPr>
          <w:rFonts w:ascii="Book Antiqua" w:hAnsi="Book Antiqua" w:cs="Times New Roman"/>
        </w:rPr>
        <w:t xml:space="preserve">Faculty of Economics and Business, </w:t>
      </w:r>
      <w:proofErr w:type="spellStart"/>
      <w:r w:rsidRPr="003657D6">
        <w:rPr>
          <w:rFonts w:ascii="Book Antiqua" w:hAnsi="Book Antiqua" w:cs="Times New Roman"/>
        </w:rPr>
        <w:t>Pamulang</w:t>
      </w:r>
      <w:proofErr w:type="spellEnd"/>
      <w:r w:rsidRPr="003657D6">
        <w:rPr>
          <w:rFonts w:ascii="Book Antiqua" w:hAnsi="Book Antiqua" w:cs="Times New Roman"/>
        </w:rPr>
        <w:t xml:space="preserve"> University, South Tangerang</w:t>
      </w:r>
    </w:p>
    <w:p w14:paraId="2926B3BF" w14:textId="76766739" w:rsidR="00EA29E4" w:rsidRDefault="00EA29E4" w:rsidP="00C72B4E">
      <w:pPr>
        <w:spacing w:after="0" w:line="240" w:lineRule="auto"/>
        <w:jc w:val="center"/>
      </w:pPr>
      <w:r w:rsidRPr="00561D13">
        <w:rPr>
          <w:rFonts w:ascii="Book Antiqua" w:hAnsi="Book Antiqua" w:cs="Times New Roman"/>
        </w:rPr>
        <w:t>e-mail:</w:t>
      </w:r>
      <w:r w:rsidRPr="00561D13">
        <w:rPr>
          <w:rFonts w:ascii="Book Antiqua" w:hAnsi="Book Antiqua" w:cs="Times New Roman"/>
          <w:color w:val="000000" w:themeColor="text1"/>
        </w:rPr>
        <w:t xml:space="preserve"> </w:t>
      </w:r>
      <w:hyperlink r:id="rId8" w:history="1">
        <w:r w:rsidR="00C72B4E" w:rsidRPr="007E187F">
          <w:rPr>
            <w:rStyle w:val="Hyperlink"/>
            <w:rFonts w:ascii="Book Antiqua" w:hAnsi="Book Antiqua" w:cs="Times New Roman"/>
          </w:rPr>
          <w:t>aliffiahhikmah11@gmail.com</w:t>
        </w:r>
      </w:hyperlink>
      <w:r w:rsidR="00C72B4E">
        <w:t xml:space="preserve"> </w:t>
      </w:r>
    </w:p>
    <w:p w14:paraId="6A63FEAF" w14:textId="77777777" w:rsidR="00C72B4E" w:rsidRPr="00561D13" w:rsidRDefault="00C72B4E" w:rsidP="00C72B4E">
      <w:pPr>
        <w:spacing w:after="0" w:line="240" w:lineRule="auto"/>
        <w:jc w:val="center"/>
        <w:rPr>
          <w:rFonts w:ascii="Book Antiqua" w:hAnsi="Book Antiqua" w:cs="Times New Roman"/>
        </w:rPr>
      </w:pPr>
    </w:p>
    <w:p w14:paraId="22717835" w14:textId="50B64C4E" w:rsidR="00786A14" w:rsidRPr="00561D13" w:rsidRDefault="00786A14" w:rsidP="00DA1A16">
      <w:pPr>
        <w:spacing w:line="240" w:lineRule="auto"/>
        <w:jc w:val="center"/>
        <w:rPr>
          <w:rFonts w:ascii="Book Antiqua" w:hAnsi="Book Antiqua" w:cs="Times New Roman"/>
          <w:b/>
          <w:bCs/>
        </w:rPr>
      </w:pPr>
      <w:r w:rsidRPr="00561D13">
        <w:rPr>
          <w:rFonts w:ascii="Book Antiqua" w:hAnsi="Book Antiqua" w:cs="Times New Roman"/>
          <w:b/>
          <w:bCs/>
        </w:rPr>
        <w:t>Abstract</w:t>
      </w:r>
    </w:p>
    <w:p w14:paraId="5E8133BB" w14:textId="6C6C2F16" w:rsidR="00DA1A16" w:rsidRPr="00561D13" w:rsidRDefault="00DA1A16" w:rsidP="00C72B4E">
      <w:pPr>
        <w:spacing w:line="240" w:lineRule="auto"/>
        <w:jc w:val="both"/>
        <w:rPr>
          <w:rFonts w:ascii="Book Antiqua" w:hAnsi="Book Antiqua" w:cs="Times New Roman"/>
        </w:rPr>
      </w:pPr>
      <w:r w:rsidRPr="00561D13">
        <w:rPr>
          <w:rFonts w:ascii="Book Antiqua" w:hAnsi="Book Antiqua" w:cs="Times New Roman"/>
        </w:rPr>
        <w:t xml:space="preserve">This study aims to analyze the financial performance of PT </w:t>
      </w:r>
      <w:proofErr w:type="spellStart"/>
      <w:r w:rsidRPr="00561D13">
        <w:rPr>
          <w:rFonts w:ascii="Book Antiqua" w:hAnsi="Book Antiqua" w:cs="Times New Roman"/>
        </w:rPr>
        <w:t>Solusi</w:t>
      </w:r>
      <w:proofErr w:type="spellEnd"/>
      <w:r w:rsidRPr="00561D13">
        <w:rPr>
          <w:rFonts w:ascii="Book Antiqua" w:hAnsi="Book Antiqua" w:cs="Times New Roman"/>
        </w:rPr>
        <w:t xml:space="preserve"> Tunas </w:t>
      </w:r>
      <w:proofErr w:type="spellStart"/>
      <w:r w:rsidRPr="00561D13">
        <w:rPr>
          <w:rFonts w:ascii="Book Antiqua" w:hAnsi="Book Antiqua" w:cs="Times New Roman"/>
        </w:rPr>
        <w:t>Pratama</w:t>
      </w:r>
      <w:proofErr w:type="spellEnd"/>
      <w:r w:rsidRPr="00561D13">
        <w:rPr>
          <w:rFonts w:ascii="Book Antiqua" w:hAnsi="Book Antiqua" w:cs="Times New Roman"/>
        </w:rPr>
        <w:t xml:space="preserve"> </w:t>
      </w:r>
      <w:proofErr w:type="spellStart"/>
      <w:r w:rsidRPr="00561D13">
        <w:rPr>
          <w:rFonts w:ascii="Book Antiqua" w:hAnsi="Book Antiqua" w:cs="Times New Roman"/>
        </w:rPr>
        <w:t>Tbk</w:t>
      </w:r>
      <w:proofErr w:type="spellEnd"/>
      <w:r w:rsidRPr="00561D13">
        <w:rPr>
          <w:rFonts w:ascii="Book Antiqua" w:hAnsi="Book Antiqua" w:cs="Times New Roman"/>
        </w:rPr>
        <w:t xml:space="preserve"> during the 2015–2024 period through the evaluation of financial ratios, including liquidity, activity, solvency, and profitability ratios. The research method employed is a descriptive quantitative approach by analyzing the company’s annual financial statements obtained from the official website of the Indonesia Stock Exchange (IDX). This analysis is intended to measure the company’s ability to meet short-term obligations, asset utilization efficiency, long-term solvency, and profitability performance. The results indicate that, in general, the financial performance of PT </w:t>
      </w:r>
      <w:proofErr w:type="spellStart"/>
      <w:r w:rsidRPr="00561D13">
        <w:rPr>
          <w:rFonts w:ascii="Book Antiqua" w:hAnsi="Book Antiqua" w:cs="Times New Roman"/>
        </w:rPr>
        <w:t>Solusi</w:t>
      </w:r>
      <w:proofErr w:type="spellEnd"/>
      <w:r w:rsidRPr="00561D13">
        <w:rPr>
          <w:rFonts w:ascii="Book Antiqua" w:hAnsi="Book Antiqua" w:cs="Times New Roman"/>
        </w:rPr>
        <w:t xml:space="preserve"> Tunas </w:t>
      </w:r>
      <w:proofErr w:type="spellStart"/>
      <w:r w:rsidRPr="00561D13">
        <w:rPr>
          <w:rFonts w:ascii="Book Antiqua" w:hAnsi="Book Antiqua" w:cs="Times New Roman"/>
        </w:rPr>
        <w:t>Pratama</w:t>
      </w:r>
      <w:proofErr w:type="spellEnd"/>
      <w:r w:rsidRPr="00561D13">
        <w:rPr>
          <w:rFonts w:ascii="Book Antiqua" w:hAnsi="Book Antiqua" w:cs="Times New Roman"/>
        </w:rPr>
        <w:t xml:space="preserve"> </w:t>
      </w:r>
      <w:proofErr w:type="spellStart"/>
      <w:r w:rsidRPr="00561D13">
        <w:rPr>
          <w:rFonts w:ascii="Book Antiqua" w:hAnsi="Book Antiqua" w:cs="Times New Roman"/>
        </w:rPr>
        <w:t>Tbk</w:t>
      </w:r>
      <w:proofErr w:type="spellEnd"/>
      <w:r w:rsidRPr="00561D13">
        <w:rPr>
          <w:rFonts w:ascii="Book Antiqua" w:hAnsi="Book Antiqua" w:cs="Times New Roman"/>
        </w:rPr>
        <w:t xml:space="preserve"> remained stable and demonstrated an improving trend toward the end of the period. The liquidity ratios show a good ability of the company to meet short-term liabilities, while the activity ratios reveal improved efficiency in asset utilization. The solvency ratios experienced a steady decline, indicating a healthier capital structure and reduced dependence on external debt. Furthermore, profitability ratios displayed a significant increase, reflecting the company’s enhanced capacity to generate profits. Therefore, it can be concluded that PT </w:t>
      </w:r>
      <w:proofErr w:type="spellStart"/>
      <w:r w:rsidRPr="00561D13">
        <w:rPr>
          <w:rFonts w:ascii="Book Antiqua" w:hAnsi="Book Antiqua" w:cs="Times New Roman"/>
        </w:rPr>
        <w:t>Solusi</w:t>
      </w:r>
      <w:proofErr w:type="spellEnd"/>
      <w:r w:rsidRPr="00561D13">
        <w:rPr>
          <w:rFonts w:ascii="Book Antiqua" w:hAnsi="Book Antiqua" w:cs="Times New Roman"/>
        </w:rPr>
        <w:t xml:space="preserve"> Tunas </w:t>
      </w:r>
      <w:proofErr w:type="spellStart"/>
      <w:r w:rsidRPr="00561D13">
        <w:rPr>
          <w:rFonts w:ascii="Book Antiqua" w:hAnsi="Book Antiqua" w:cs="Times New Roman"/>
        </w:rPr>
        <w:t>Pratama</w:t>
      </w:r>
      <w:proofErr w:type="spellEnd"/>
      <w:r w:rsidRPr="00561D13">
        <w:rPr>
          <w:rFonts w:ascii="Book Antiqua" w:hAnsi="Book Antiqua" w:cs="Times New Roman"/>
        </w:rPr>
        <w:t xml:space="preserve"> </w:t>
      </w:r>
      <w:proofErr w:type="spellStart"/>
      <w:r w:rsidRPr="00561D13">
        <w:rPr>
          <w:rFonts w:ascii="Book Antiqua" w:hAnsi="Book Antiqua" w:cs="Times New Roman"/>
        </w:rPr>
        <w:t>Tbk</w:t>
      </w:r>
      <w:proofErr w:type="spellEnd"/>
      <w:r w:rsidRPr="00561D13">
        <w:rPr>
          <w:rFonts w:ascii="Book Antiqua" w:hAnsi="Book Antiqua" w:cs="Times New Roman"/>
        </w:rPr>
        <w:t xml:space="preserve"> maintains a sound and sustainable financial performance, capable of adapting to the competitive dynamics of the Indonesian telecommunications industry.</w:t>
      </w:r>
    </w:p>
    <w:p w14:paraId="2EEC8959" w14:textId="77777777" w:rsidR="00DA1A16" w:rsidRPr="00561D13" w:rsidRDefault="00DA1A16" w:rsidP="00DA1A16">
      <w:pPr>
        <w:spacing w:line="240" w:lineRule="auto"/>
        <w:jc w:val="both"/>
        <w:rPr>
          <w:rFonts w:ascii="Book Antiqua" w:hAnsi="Book Antiqua" w:cs="Times New Roman"/>
          <w:b/>
          <w:bCs/>
        </w:rPr>
      </w:pPr>
      <w:r w:rsidRPr="00561D13">
        <w:rPr>
          <w:rFonts w:ascii="Book Antiqua" w:hAnsi="Book Antiqua" w:cs="Times New Roman"/>
          <w:b/>
          <w:bCs/>
        </w:rPr>
        <w:t xml:space="preserve">Keywords: </w:t>
      </w:r>
    </w:p>
    <w:p w14:paraId="67A7840D" w14:textId="0F579B46" w:rsidR="00DA1A16" w:rsidRPr="00561D13" w:rsidRDefault="00DA1A16" w:rsidP="00DA1A16">
      <w:pPr>
        <w:spacing w:line="240" w:lineRule="auto"/>
        <w:jc w:val="both"/>
        <w:rPr>
          <w:rFonts w:ascii="Book Antiqua" w:hAnsi="Book Antiqua" w:cs="Times New Roman"/>
          <w:b/>
          <w:bCs/>
        </w:rPr>
      </w:pPr>
      <w:r w:rsidRPr="00561D13">
        <w:rPr>
          <w:rFonts w:ascii="Book Antiqua" w:hAnsi="Book Antiqua" w:cs="Times New Roman"/>
        </w:rPr>
        <w:t>Financial Ratios, Liquidity, Activity, Solvency, Profitability, Financial Performance.</w:t>
      </w:r>
    </w:p>
    <w:p w14:paraId="13F7941F" w14:textId="7F1714F9" w:rsidR="002C7CF8" w:rsidRPr="00561D13" w:rsidRDefault="002C7CF8" w:rsidP="00DA1A16">
      <w:pPr>
        <w:spacing w:line="240" w:lineRule="auto"/>
        <w:jc w:val="both"/>
        <w:rPr>
          <w:rFonts w:ascii="Book Antiqua" w:hAnsi="Book Antiqua" w:cs="Times New Roman"/>
          <w:b/>
          <w:bCs/>
        </w:rPr>
      </w:pPr>
      <w:r w:rsidRPr="00561D13">
        <w:rPr>
          <w:rFonts w:ascii="Book Antiqua" w:hAnsi="Book Antiqua" w:cs="Times New Roman"/>
          <w:b/>
          <w:bCs/>
        </w:rPr>
        <w:t>Introduction</w:t>
      </w:r>
    </w:p>
    <w:p w14:paraId="67CAD22F" w14:textId="77777777" w:rsidR="003657D6" w:rsidRDefault="003657D6" w:rsidP="003657D6">
      <w:pPr>
        <w:spacing w:line="240" w:lineRule="auto"/>
        <w:ind w:firstLine="720"/>
        <w:jc w:val="both"/>
        <w:rPr>
          <w:rFonts w:ascii="Book Antiqua" w:hAnsi="Book Antiqua" w:cs="Times New Roman"/>
        </w:rPr>
      </w:pPr>
      <w:r w:rsidRPr="003657D6">
        <w:rPr>
          <w:rFonts w:ascii="Book Antiqua" w:hAnsi="Book Antiqua" w:cs="Times New Roman"/>
        </w:rPr>
        <w:t>Financial performance is a key indicator that reflects a company's success in managing resources, fulfilling obligations, and achieving long-term economic goals. Through financial performance analysis, management can assess the extent to which the operational strategies and financial policies implemented are capable of generating efficiency, stability, and profitability. For external parties such as investors and creditors, financial performance is the basis for assessing a company's risk level and sustainability prospects (Hery, 2017).</w:t>
      </w:r>
    </w:p>
    <w:p w14:paraId="4E699AA6" w14:textId="29178D25" w:rsidR="003657D6" w:rsidRPr="003657D6" w:rsidRDefault="003657D6" w:rsidP="003657D6">
      <w:pPr>
        <w:spacing w:line="240" w:lineRule="auto"/>
        <w:ind w:firstLine="720"/>
        <w:jc w:val="both"/>
        <w:rPr>
          <w:rFonts w:ascii="Book Antiqua" w:hAnsi="Book Antiqua" w:cs="Times New Roman"/>
        </w:rPr>
      </w:pPr>
      <w:r w:rsidRPr="003657D6">
        <w:rPr>
          <w:rFonts w:ascii="Book Antiqua" w:hAnsi="Book Antiqua" w:cs="Times New Roman"/>
        </w:rPr>
        <w:t xml:space="preserve">One of the most commonly used methods for assessing financial performance is financial ratio analysis. Financial ratios are analytical tools that compare items in financial statements to provide an overview of a company's liquidity, activity, solvency, and profitability (Kasmir, 2018). Through these </w:t>
      </w:r>
      <w:r w:rsidRPr="003657D6">
        <w:rPr>
          <w:rFonts w:ascii="Book Antiqua" w:hAnsi="Book Antiqua" w:cs="Times New Roman"/>
        </w:rPr>
        <w:lastRenderedPageBreak/>
        <w:t>comparisons, companies can assess their ability to meet short-term obligations, the effectiveness of asset utilization in generating sales, their ability to bear debt burdens, and the level of profit earned during a certain period.</w:t>
      </w:r>
    </w:p>
    <w:p w14:paraId="73E6D619" w14:textId="77777777" w:rsidR="003657D6" w:rsidRPr="003657D6" w:rsidRDefault="003657D6" w:rsidP="003657D6">
      <w:pPr>
        <w:spacing w:line="240" w:lineRule="auto"/>
        <w:ind w:firstLine="720"/>
        <w:jc w:val="both"/>
        <w:rPr>
          <w:rFonts w:ascii="Book Antiqua" w:hAnsi="Book Antiqua" w:cs="Times New Roman"/>
        </w:rPr>
      </w:pPr>
      <w:r w:rsidRPr="003657D6">
        <w:rPr>
          <w:rFonts w:ascii="Book Antiqua" w:hAnsi="Book Antiqua" w:cs="Times New Roman"/>
        </w:rPr>
        <w:t>According to Brigham and Houston (2019), financial ratio analysis serves not only to assess current performance, but also as an early warning tool for potential financial problems in the future. By monitoring ratios regularly, companies can devise more appropriate strategies to maintain their financial stability.</w:t>
      </w:r>
    </w:p>
    <w:p w14:paraId="079F0D5D" w14:textId="77777777" w:rsidR="003657D6" w:rsidRDefault="003657D6" w:rsidP="003657D6">
      <w:pPr>
        <w:spacing w:line="240" w:lineRule="auto"/>
        <w:ind w:firstLine="720"/>
        <w:jc w:val="both"/>
        <w:rPr>
          <w:rFonts w:ascii="Book Antiqua" w:hAnsi="Book Antiqua" w:cs="Times New Roman"/>
        </w:rPr>
      </w:pPr>
      <w:r w:rsidRPr="003657D6">
        <w:rPr>
          <w:rFonts w:ascii="Book Antiqua" w:hAnsi="Book Antiqua" w:cs="Times New Roman"/>
        </w:rPr>
        <w:t xml:space="preserve">PT </w:t>
      </w:r>
      <w:proofErr w:type="spellStart"/>
      <w:r w:rsidRPr="003657D6">
        <w:rPr>
          <w:rFonts w:ascii="Book Antiqua" w:hAnsi="Book Antiqua" w:cs="Times New Roman"/>
        </w:rPr>
        <w:t>Solusi</w:t>
      </w:r>
      <w:proofErr w:type="spellEnd"/>
      <w:r w:rsidRPr="003657D6">
        <w:rPr>
          <w:rFonts w:ascii="Book Antiqua" w:hAnsi="Book Antiqua" w:cs="Times New Roman"/>
        </w:rPr>
        <w:t xml:space="preserve"> Tunas </w:t>
      </w:r>
      <w:proofErr w:type="spellStart"/>
      <w:r w:rsidRPr="003657D6">
        <w:rPr>
          <w:rFonts w:ascii="Book Antiqua" w:hAnsi="Book Antiqua" w:cs="Times New Roman"/>
        </w:rPr>
        <w:t>Pratama</w:t>
      </w:r>
      <w:proofErr w:type="spellEnd"/>
      <w:r w:rsidRPr="003657D6">
        <w:rPr>
          <w:rFonts w:ascii="Book Antiqua" w:hAnsi="Book Antiqua" w:cs="Times New Roman"/>
        </w:rPr>
        <w:t xml:space="preserve"> </w:t>
      </w:r>
      <w:proofErr w:type="spellStart"/>
      <w:r w:rsidRPr="003657D6">
        <w:rPr>
          <w:rFonts w:ascii="Book Antiqua" w:hAnsi="Book Antiqua" w:cs="Times New Roman"/>
        </w:rPr>
        <w:t>Tbk</w:t>
      </w:r>
      <w:proofErr w:type="spellEnd"/>
      <w:r w:rsidRPr="003657D6">
        <w:rPr>
          <w:rFonts w:ascii="Book Antiqua" w:hAnsi="Book Antiqua" w:cs="Times New Roman"/>
        </w:rPr>
        <w:t xml:space="preserve"> (STP) is a public company engaged in telecommunications infrastructure, specifically the leasing and management of telecommunications towers throughout Indonesia. Based on the official annual report published by the company on its website www.stptower.com, STP has been operating since 2006 and has become one of the largest telecommunications infrastructure service providers in Indonesia. In carrying out its business activities, the company faces significant challenges in the form of fluctuations in demand from cellular operators, changes in government policy, and the dynamics of investment and financing costs that have the potential to affect overall financial performance.</w:t>
      </w:r>
    </w:p>
    <w:p w14:paraId="4ED1258F" w14:textId="77777777" w:rsidR="003657D6" w:rsidRDefault="003657D6" w:rsidP="003657D6">
      <w:pPr>
        <w:spacing w:line="240" w:lineRule="auto"/>
        <w:ind w:firstLine="720"/>
        <w:jc w:val="both"/>
        <w:rPr>
          <w:rFonts w:ascii="Book Antiqua" w:hAnsi="Book Antiqua" w:cs="Times New Roman"/>
        </w:rPr>
      </w:pPr>
      <w:r w:rsidRPr="003657D6">
        <w:rPr>
          <w:rFonts w:ascii="Book Antiqua" w:hAnsi="Book Antiqua" w:cs="Times New Roman"/>
        </w:rPr>
        <w:t xml:space="preserve">The period from 2015 to 2024 is an important time to analyze, given that during this period the telecommunications industry in Indonesia experienced rapid growth as well as pressure from technological changes and spectrum policies. PT </w:t>
      </w:r>
      <w:proofErr w:type="spellStart"/>
      <w:r w:rsidRPr="003657D6">
        <w:rPr>
          <w:rFonts w:ascii="Book Antiqua" w:hAnsi="Book Antiqua" w:cs="Times New Roman"/>
        </w:rPr>
        <w:t>Solusi</w:t>
      </w:r>
      <w:proofErr w:type="spellEnd"/>
      <w:r w:rsidRPr="003657D6">
        <w:rPr>
          <w:rFonts w:ascii="Book Antiqua" w:hAnsi="Book Antiqua" w:cs="Times New Roman"/>
        </w:rPr>
        <w:t xml:space="preserve"> Tunas </w:t>
      </w:r>
      <w:proofErr w:type="spellStart"/>
      <w:r w:rsidRPr="003657D6">
        <w:rPr>
          <w:rFonts w:ascii="Book Antiqua" w:hAnsi="Book Antiqua" w:cs="Times New Roman"/>
        </w:rPr>
        <w:t>Pratama</w:t>
      </w:r>
      <w:proofErr w:type="spellEnd"/>
      <w:r w:rsidRPr="003657D6">
        <w:rPr>
          <w:rFonts w:ascii="Book Antiqua" w:hAnsi="Book Antiqua" w:cs="Times New Roman"/>
        </w:rPr>
        <w:t xml:space="preserve"> </w:t>
      </w:r>
      <w:proofErr w:type="spellStart"/>
      <w:r w:rsidRPr="003657D6">
        <w:rPr>
          <w:rFonts w:ascii="Book Antiqua" w:hAnsi="Book Antiqua" w:cs="Times New Roman"/>
        </w:rPr>
        <w:t>Tbk</w:t>
      </w:r>
      <w:proofErr w:type="spellEnd"/>
      <w:r w:rsidRPr="003657D6">
        <w:rPr>
          <w:rFonts w:ascii="Book Antiqua" w:hAnsi="Book Antiqua" w:cs="Times New Roman"/>
        </w:rPr>
        <w:t xml:space="preserve"> must be able to maintain its financial health in order to remain competitive amid these changes. Therefore, a comprehensive analysis of liquidity, activity, solvency, and profitability ratios is needed to assess the extent to which the company has been able to maintain its financial stability and growth over the past decade.</w:t>
      </w:r>
    </w:p>
    <w:p w14:paraId="7A39A204" w14:textId="00E0E581" w:rsidR="003657D6" w:rsidRPr="003657D6" w:rsidRDefault="003657D6" w:rsidP="003657D6">
      <w:pPr>
        <w:spacing w:line="240" w:lineRule="auto"/>
        <w:ind w:firstLine="720"/>
        <w:jc w:val="both"/>
        <w:rPr>
          <w:rFonts w:ascii="Book Antiqua" w:hAnsi="Book Antiqua" w:cs="Times New Roman"/>
        </w:rPr>
      </w:pPr>
      <w:r w:rsidRPr="003657D6">
        <w:rPr>
          <w:rFonts w:ascii="Book Antiqua" w:hAnsi="Book Antiqua" w:cs="Times New Roman"/>
        </w:rPr>
        <w:t xml:space="preserve">This study aims to evaluate the financial performance of PT </w:t>
      </w:r>
      <w:proofErr w:type="spellStart"/>
      <w:r w:rsidRPr="003657D6">
        <w:rPr>
          <w:rFonts w:ascii="Book Antiqua" w:hAnsi="Book Antiqua" w:cs="Times New Roman"/>
        </w:rPr>
        <w:t>Solusi</w:t>
      </w:r>
      <w:proofErr w:type="spellEnd"/>
      <w:r w:rsidRPr="003657D6">
        <w:rPr>
          <w:rFonts w:ascii="Book Antiqua" w:hAnsi="Book Antiqua" w:cs="Times New Roman"/>
        </w:rPr>
        <w:t xml:space="preserve"> Tunas </w:t>
      </w:r>
      <w:proofErr w:type="spellStart"/>
      <w:r w:rsidRPr="003657D6">
        <w:rPr>
          <w:rFonts w:ascii="Book Antiqua" w:hAnsi="Book Antiqua" w:cs="Times New Roman"/>
        </w:rPr>
        <w:t>Pratama</w:t>
      </w:r>
      <w:proofErr w:type="spellEnd"/>
      <w:r w:rsidRPr="003657D6">
        <w:rPr>
          <w:rFonts w:ascii="Book Antiqua" w:hAnsi="Book Antiqua" w:cs="Times New Roman"/>
        </w:rPr>
        <w:t xml:space="preserve"> </w:t>
      </w:r>
      <w:proofErr w:type="spellStart"/>
      <w:r w:rsidRPr="003657D6">
        <w:rPr>
          <w:rFonts w:ascii="Book Antiqua" w:hAnsi="Book Antiqua" w:cs="Times New Roman"/>
        </w:rPr>
        <w:t>Tbk</w:t>
      </w:r>
      <w:proofErr w:type="spellEnd"/>
      <w:r w:rsidRPr="003657D6">
        <w:rPr>
          <w:rFonts w:ascii="Book Antiqua" w:hAnsi="Book Antiqua" w:cs="Times New Roman"/>
        </w:rPr>
        <w:t xml:space="preserve"> for the period 2015–2024 through a financial ratio analysis covering the four main aspects mentioned above. The results of this study are expected to provide practical benefits for company management in strategic decision-making, as well as serve as a reference for academics and investors interested in understanding the financial condition of the telecommunications infrastructure sector in Indonesia.</w:t>
      </w:r>
    </w:p>
    <w:p w14:paraId="100968A5" w14:textId="14A01E67" w:rsidR="003657D6" w:rsidRDefault="003657D6" w:rsidP="003657D6">
      <w:pPr>
        <w:spacing w:line="240" w:lineRule="auto"/>
        <w:jc w:val="both"/>
        <w:rPr>
          <w:rFonts w:ascii="Book Antiqua" w:hAnsi="Book Antiqua" w:cs="Times New Roman"/>
          <w:b/>
          <w:bCs/>
        </w:rPr>
      </w:pPr>
      <w:r w:rsidRPr="003657D6">
        <w:rPr>
          <w:rFonts w:ascii="Book Antiqua" w:hAnsi="Book Antiqua" w:cs="Times New Roman"/>
          <w:b/>
          <w:bCs/>
        </w:rPr>
        <w:t>Theoretical Framework</w:t>
      </w:r>
    </w:p>
    <w:p w14:paraId="64352E25" w14:textId="77777777" w:rsidR="00C72B4E" w:rsidRDefault="003657D6" w:rsidP="00C72B4E">
      <w:pPr>
        <w:spacing w:line="240" w:lineRule="auto"/>
        <w:ind w:firstLine="567"/>
        <w:jc w:val="both"/>
        <w:rPr>
          <w:rFonts w:ascii="Book Antiqua" w:hAnsi="Book Antiqua" w:cs="Times New Roman"/>
        </w:rPr>
      </w:pPr>
      <w:r w:rsidRPr="003657D6">
        <w:rPr>
          <w:rFonts w:ascii="Book Antiqua" w:hAnsi="Book Antiqua" w:cs="Times New Roman"/>
        </w:rPr>
        <w:t>Financial ratio analysis is an important method used to assess the effectiveness and efficiency of a company's financial management. According to Kasmir (2018), financial ratios are tools for comparing items in financial statements to assess a company's financial condition from various aspects. These ratios help measure a company's ability to meet its obligations, manage its assets, and generate profits.</w:t>
      </w:r>
    </w:p>
    <w:p w14:paraId="13DD2683" w14:textId="56BE7902" w:rsidR="003657D6" w:rsidRPr="003657D6" w:rsidRDefault="003657D6" w:rsidP="00C72B4E">
      <w:pPr>
        <w:spacing w:line="240" w:lineRule="auto"/>
        <w:ind w:firstLine="567"/>
        <w:jc w:val="both"/>
        <w:rPr>
          <w:rFonts w:ascii="Book Antiqua" w:hAnsi="Book Antiqua" w:cs="Times New Roman"/>
        </w:rPr>
      </w:pPr>
      <w:r w:rsidRPr="003657D6">
        <w:rPr>
          <w:rFonts w:ascii="Book Antiqua" w:hAnsi="Book Antiqua" w:cs="Times New Roman"/>
        </w:rPr>
        <w:t>Brigham and Houston (2019) classify financial ratios into four main types, namely liquidity, activity, solvency, and profitability ratios.</w:t>
      </w:r>
    </w:p>
    <w:p w14:paraId="7ADE2FAD" w14:textId="77777777" w:rsidR="003657D6" w:rsidRDefault="003657D6" w:rsidP="003657D6">
      <w:pPr>
        <w:pStyle w:val="ListParagraph"/>
        <w:numPr>
          <w:ilvl w:val="0"/>
          <w:numId w:val="14"/>
        </w:numPr>
        <w:spacing w:line="240" w:lineRule="auto"/>
        <w:ind w:left="426" w:hanging="426"/>
        <w:jc w:val="both"/>
        <w:rPr>
          <w:rFonts w:ascii="Book Antiqua" w:hAnsi="Book Antiqua" w:cs="Times New Roman"/>
        </w:rPr>
      </w:pPr>
      <w:r w:rsidRPr="003657D6">
        <w:rPr>
          <w:rFonts w:ascii="Book Antiqua" w:hAnsi="Book Antiqua" w:cs="Times New Roman"/>
        </w:rPr>
        <w:lastRenderedPageBreak/>
        <w:t>Liquidity ratios are used to assess a company's ability to meet its short-term obligations. Commonly used ratios include the Current Ratio (CR) and Quick Ratio (QR).</w:t>
      </w:r>
    </w:p>
    <w:p w14:paraId="0B418764" w14:textId="77777777" w:rsidR="003657D6" w:rsidRDefault="003657D6" w:rsidP="003657D6">
      <w:pPr>
        <w:pStyle w:val="ListParagraph"/>
        <w:numPr>
          <w:ilvl w:val="0"/>
          <w:numId w:val="14"/>
        </w:numPr>
        <w:spacing w:line="240" w:lineRule="auto"/>
        <w:ind w:left="426" w:hanging="426"/>
        <w:jc w:val="both"/>
        <w:rPr>
          <w:rFonts w:ascii="Book Antiqua" w:hAnsi="Book Antiqua" w:cs="Times New Roman"/>
        </w:rPr>
      </w:pPr>
      <w:r w:rsidRPr="003657D6">
        <w:rPr>
          <w:rFonts w:ascii="Book Antiqua" w:hAnsi="Book Antiqua" w:cs="Times New Roman"/>
        </w:rPr>
        <w:t>Activity ratios measure how efficiently a company utilizes its assets to generate sales, including Total Asset Turnover (TATO) and Inventory Turnover (ITO) (Gitman &amp; Zutter, 2015)</w:t>
      </w:r>
      <w:r>
        <w:rPr>
          <w:rFonts w:ascii="Book Antiqua" w:hAnsi="Book Antiqua" w:cs="Times New Roman"/>
        </w:rPr>
        <w:t>.</w:t>
      </w:r>
    </w:p>
    <w:p w14:paraId="65D1C94C" w14:textId="77777777" w:rsidR="003657D6" w:rsidRDefault="003657D6" w:rsidP="003657D6">
      <w:pPr>
        <w:pStyle w:val="ListParagraph"/>
        <w:numPr>
          <w:ilvl w:val="0"/>
          <w:numId w:val="14"/>
        </w:numPr>
        <w:spacing w:line="240" w:lineRule="auto"/>
        <w:ind w:left="426" w:hanging="426"/>
        <w:jc w:val="both"/>
        <w:rPr>
          <w:rFonts w:ascii="Book Antiqua" w:hAnsi="Book Antiqua" w:cs="Times New Roman"/>
        </w:rPr>
      </w:pPr>
      <w:r w:rsidRPr="003657D6">
        <w:rPr>
          <w:rFonts w:ascii="Book Antiqua" w:hAnsi="Book Antiqua" w:cs="Times New Roman"/>
        </w:rPr>
        <w:t>Solvency ratios indicate a company's ability to meet its long-term obligations, using ratios such as the Debt to Equity Ratio (DER) and Debt to Asset Ratio (DAR).</w:t>
      </w:r>
    </w:p>
    <w:p w14:paraId="256C4A16" w14:textId="77777777" w:rsidR="003657D6" w:rsidRDefault="003657D6" w:rsidP="003657D6">
      <w:pPr>
        <w:pStyle w:val="ListParagraph"/>
        <w:numPr>
          <w:ilvl w:val="0"/>
          <w:numId w:val="14"/>
        </w:numPr>
        <w:spacing w:line="240" w:lineRule="auto"/>
        <w:ind w:left="426" w:hanging="426"/>
        <w:jc w:val="both"/>
        <w:rPr>
          <w:rFonts w:ascii="Book Antiqua" w:hAnsi="Book Antiqua" w:cs="Times New Roman"/>
        </w:rPr>
      </w:pPr>
      <w:r w:rsidRPr="003657D6">
        <w:rPr>
          <w:rFonts w:ascii="Book Antiqua" w:hAnsi="Book Antiqua" w:cs="Times New Roman"/>
        </w:rPr>
        <w:t>Profitability ratios serve to assess a company's ability to generate profits, using indicators such as Return on Assets (ROA), Return on Equity (ROE), and Net Profit Margin (NPM).</w:t>
      </w:r>
    </w:p>
    <w:p w14:paraId="573AA4B4" w14:textId="62FD2B20" w:rsidR="00394191" w:rsidRDefault="003657D6" w:rsidP="003657D6">
      <w:pPr>
        <w:spacing w:line="240" w:lineRule="auto"/>
        <w:ind w:firstLine="360"/>
        <w:jc w:val="both"/>
        <w:rPr>
          <w:rFonts w:ascii="Book Antiqua" w:hAnsi="Book Antiqua" w:cs="Times New Roman"/>
        </w:rPr>
      </w:pPr>
      <w:r w:rsidRPr="003657D6">
        <w:rPr>
          <w:rFonts w:ascii="Book Antiqua" w:hAnsi="Book Antiqua" w:cs="Times New Roman"/>
        </w:rPr>
        <w:t>According to Hery (2017), the combination of these four ratio groups provides a comprehensive view of the company's financial condition, both in terms of operational efficiency and financial stability.</w:t>
      </w:r>
    </w:p>
    <w:p w14:paraId="314E5646" w14:textId="57D96FEB" w:rsidR="003657D6" w:rsidRDefault="003657D6" w:rsidP="003657D6">
      <w:pPr>
        <w:spacing w:line="240" w:lineRule="auto"/>
        <w:ind w:firstLine="360"/>
        <w:jc w:val="both"/>
        <w:rPr>
          <w:rFonts w:ascii="Book Antiqua" w:hAnsi="Book Antiqua" w:cs="Times New Roman"/>
        </w:rPr>
      </w:pPr>
      <w:r w:rsidRPr="003657D6">
        <w:rPr>
          <w:rFonts w:ascii="Book Antiqua" w:hAnsi="Book Antiqua" w:cs="Times New Roman"/>
        </w:rPr>
        <w:t xml:space="preserve">Research on financial ratio analysis has been conducted extensively by previous researchers. Rizky Indrawan, Pauline Van Rate, and Victoria N. </w:t>
      </w:r>
      <w:proofErr w:type="spellStart"/>
      <w:r w:rsidRPr="003657D6">
        <w:rPr>
          <w:rFonts w:ascii="Book Antiqua" w:hAnsi="Book Antiqua" w:cs="Times New Roman"/>
        </w:rPr>
        <w:t>Untu</w:t>
      </w:r>
      <w:proofErr w:type="spellEnd"/>
      <w:r w:rsidRPr="003657D6">
        <w:rPr>
          <w:rFonts w:ascii="Book Antiqua" w:hAnsi="Book Antiqua" w:cs="Times New Roman"/>
        </w:rPr>
        <w:t xml:space="preserve"> (2022) in EMBA Journal Vol.10 No.1 examined the financial performance of PT Astra </w:t>
      </w:r>
      <w:proofErr w:type="spellStart"/>
      <w:r w:rsidRPr="003657D6">
        <w:rPr>
          <w:rFonts w:ascii="Book Antiqua" w:hAnsi="Book Antiqua" w:cs="Times New Roman"/>
        </w:rPr>
        <w:t>Otoparts</w:t>
      </w:r>
      <w:proofErr w:type="spellEnd"/>
      <w:r w:rsidRPr="003657D6">
        <w:rPr>
          <w:rFonts w:ascii="Book Antiqua" w:hAnsi="Book Antiqua" w:cs="Times New Roman"/>
        </w:rPr>
        <w:t xml:space="preserve"> </w:t>
      </w:r>
      <w:proofErr w:type="spellStart"/>
      <w:r w:rsidRPr="003657D6">
        <w:rPr>
          <w:rFonts w:ascii="Book Antiqua" w:hAnsi="Book Antiqua" w:cs="Times New Roman"/>
        </w:rPr>
        <w:t>Tbk</w:t>
      </w:r>
      <w:proofErr w:type="spellEnd"/>
      <w:r w:rsidRPr="003657D6">
        <w:rPr>
          <w:rFonts w:ascii="Book Antiqua" w:hAnsi="Book Antiqua" w:cs="Times New Roman"/>
        </w:rPr>
        <w:t xml:space="preserve"> and PT </w:t>
      </w:r>
      <w:proofErr w:type="spellStart"/>
      <w:r w:rsidRPr="003657D6">
        <w:rPr>
          <w:rFonts w:ascii="Book Antiqua" w:hAnsi="Book Antiqua" w:cs="Times New Roman"/>
        </w:rPr>
        <w:t>Selamat</w:t>
      </w:r>
      <w:proofErr w:type="spellEnd"/>
      <w:r w:rsidRPr="003657D6">
        <w:rPr>
          <w:rFonts w:ascii="Book Antiqua" w:hAnsi="Book Antiqua" w:cs="Times New Roman"/>
        </w:rPr>
        <w:t xml:space="preserve"> </w:t>
      </w:r>
      <w:proofErr w:type="spellStart"/>
      <w:r w:rsidRPr="003657D6">
        <w:rPr>
          <w:rFonts w:ascii="Book Antiqua" w:hAnsi="Book Antiqua" w:cs="Times New Roman"/>
        </w:rPr>
        <w:t>Sempurna</w:t>
      </w:r>
      <w:proofErr w:type="spellEnd"/>
      <w:r w:rsidRPr="003657D6">
        <w:rPr>
          <w:rFonts w:ascii="Book Antiqua" w:hAnsi="Book Antiqua" w:cs="Times New Roman"/>
        </w:rPr>
        <w:t xml:space="preserve"> </w:t>
      </w:r>
      <w:proofErr w:type="spellStart"/>
      <w:r w:rsidRPr="003657D6">
        <w:rPr>
          <w:rFonts w:ascii="Book Antiqua" w:hAnsi="Book Antiqua" w:cs="Times New Roman"/>
        </w:rPr>
        <w:t>Tbk</w:t>
      </w:r>
      <w:proofErr w:type="spellEnd"/>
      <w:r w:rsidRPr="003657D6">
        <w:rPr>
          <w:rFonts w:ascii="Book Antiqua" w:hAnsi="Book Antiqua" w:cs="Times New Roman"/>
        </w:rPr>
        <w:t xml:space="preserve"> for the period 2016–2020. The results show that PT </w:t>
      </w:r>
      <w:proofErr w:type="spellStart"/>
      <w:r w:rsidRPr="003657D6">
        <w:rPr>
          <w:rFonts w:ascii="Book Antiqua" w:hAnsi="Book Antiqua" w:cs="Times New Roman"/>
        </w:rPr>
        <w:t>Selamat</w:t>
      </w:r>
      <w:proofErr w:type="spellEnd"/>
      <w:r w:rsidRPr="003657D6">
        <w:rPr>
          <w:rFonts w:ascii="Book Antiqua" w:hAnsi="Book Antiqua" w:cs="Times New Roman"/>
        </w:rPr>
        <w:t xml:space="preserve"> </w:t>
      </w:r>
      <w:proofErr w:type="spellStart"/>
      <w:r w:rsidRPr="003657D6">
        <w:rPr>
          <w:rFonts w:ascii="Book Antiqua" w:hAnsi="Book Antiqua" w:cs="Times New Roman"/>
        </w:rPr>
        <w:t>Sempurna</w:t>
      </w:r>
      <w:proofErr w:type="spellEnd"/>
      <w:r w:rsidRPr="003657D6">
        <w:rPr>
          <w:rFonts w:ascii="Book Antiqua" w:hAnsi="Book Antiqua" w:cs="Times New Roman"/>
        </w:rPr>
        <w:t xml:space="preserve"> </w:t>
      </w:r>
      <w:proofErr w:type="spellStart"/>
      <w:r w:rsidRPr="003657D6">
        <w:rPr>
          <w:rFonts w:ascii="Book Antiqua" w:hAnsi="Book Antiqua" w:cs="Times New Roman"/>
        </w:rPr>
        <w:t>Tbk</w:t>
      </w:r>
      <w:proofErr w:type="spellEnd"/>
      <w:r w:rsidRPr="003657D6">
        <w:rPr>
          <w:rFonts w:ascii="Book Antiqua" w:hAnsi="Book Antiqua" w:cs="Times New Roman"/>
        </w:rPr>
        <w:t xml:space="preserve"> has better financial performance, especially in terms of solvency and profitability.</w:t>
      </w:r>
    </w:p>
    <w:p w14:paraId="76FD8BA8" w14:textId="6DEA16FB" w:rsidR="003657D6" w:rsidRDefault="003657D6" w:rsidP="003657D6">
      <w:pPr>
        <w:spacing w:line="240" w:lineRule="auto"/>
        <w:ind w:firstLine="360"/>
        <w:jc w:val="both"/>
        <w:rPr>
          <w:rFonts w:ascii="Book Antiqua" w:hAnsi="Book Antiqua" w:cs="Times New Roman"/>
        </w:rPr>
      </w:pPr>
      <w:r w:rsidRPr="003657D6">
        <w:rPr>
          <w:rFonts w:ascii="Book Antiqua" w:hAnsi="Book Antiqua" w:cs="Times New Roman"/>
        </w:rPr>
        <w:t xml:space="preserve">Nina Shabrina (2019) in the </w:t>
      </w:r>
      <w:proofErr w:type="spellStart"/>
      <w:r w:rsidRPr="003657D6">
        <w:rPr>
          <w:rFonts w:ascii="Book Antiqua" w:hAnsi="Book Antiqua" w:cs="Times New Roman"/>
        </w:rPr>
        <w:t>Forkamma</w:t>
      </w:r>
      <w:proofErr w:type="spellEnd"/>
      <w:r w:rsidRPr="003657D6">
        <w:rPr>
          <w:rFonts w:ascii="Book Antiqua" w:hAnsi="Book Antiqua" w:cs="Times New Roman"/>
        </w:rPr>
        <w:t xml:space="preserve"> Management Scientific Journal Vol.2 No.3 found that the profitability and liquidity ratios of PT Astra International </w:t>
      </w:r>
      <w:proofErr w:type="spellStart"/>
      <w:r w:rsidRPr="003657D6">
        <w:rPr>
          <w:rFonts w:ascii="Book Antiqua" w:hAnsi="Book Antiqua" w:cs="Times New Roman"/>
        </w:rPr>
        <w:t>Tbk</w:t>
      </w:r>
      <w:proofErr w:type="spellEnd"/>
      <w:r w:rsidRPr="003657D6">
        <w:rPr>
          <w:rFonts w:ascii="Book Antiqua" w:hAnsi="Book Antiqua" w:cs="Times New Roman"/>
        </w:rPr>
        <w:t xml:space="preserve"> fluctuated annually but remained in a healthy condition. </w:t>
      </w:r>
      <w:proofErr w:type="spellStart"/>
      <w:r w:rsidRPr="003657D6">
        <w:rPr>
          <w:rFonts w:ascii="Book Antiqua" w:hAnsi="Book Antiqua" w:cs="Times New Roman"/>
        </w:rPr>
        <w:t>Ninda</w:t>
      </w:r>
      <w:proofErr w:type="spellEnd"/>
      <w:r w:rsidRPr="003657D6">
        <w:rPr>
          <w:rFonts w:ascii="Book Antiqua" w:hAnsi="Book Antiqua" w:cs="Times New Roman"/>
        </w:rPr>
        <w:t xml:space="preserve"> Riza F. W., Sutrisno Djaja, and Titin Kartini (2019) in the Scientific Journal of Education, Economics, and Social Sciences Vol.13 No.1 researched the </w:t>
      </w:r>
      <w:proofErr w:type="spellStart"/>
      <w:r w:rsidRPr="003657D6">
        <w:rPr>
          <w:rFonts w:ascii="Book Antiqua" w:hAnsi="Book Antiqua" w:cs="Times New Roman"/>
        </w:rPr>
        <w:t>Dama</w:t>
      </w:r>
      <w:proofErr w:type="spellEnd"/>
      <w:r w:rsidRPr="003657D6">
        <w:rPr>
          <w:rFonts w:ascii="Book Antiqua" w:hAnsi="Book Antiqua" w:cs="Times New Roman"/>
        </w:rPr>
        <w:t xml:space="preserve"> Putra </w:t>
      </w:r>
      <w:proofErr w:type="spellStart"/>
      <w:r w:rsidRPr="003657D6">
        <w:rPr>
          <w:rFonts w:ascii="Book Antiqua" w:hAnsi="Book Antiqua" w:cs="Times New Roman"/>
        </w:rPr>
        <w:t>Uddhata</w:t>
      </w:r>
      <w:proofErr w:type="spellEnd"/>
      <w:r w:rsidRPr="003657D6">
        <w:rPr>
          <w:rFonts w:ascii="Book Antiqua" w:hAnsi="Book Antiqua" w:cs="Times New Roman"/>
        </w:rPr>
        <w:t xml:space="preserve"> </w:t>
      </w:r>
      <w:proofErr w:type="spellStart"/>
      <w:r w:rsidRPr="003657D6">
        <w:rPr>
          <w:rFonts w:ascii="Book Antiqua" w:hAnsi="Book Antiqua" w:cs="Times New Roman"/>
        </w:rPr>
        <w:t>Jember</w:t>
      </w:r>
      <w:proofErr w:type="spellEnd"/>
      <w:r w:rsidRPr="003657D6">
        <w:rPr>
          <w:rFonts w:ascii="Book Antiqua" w:hAnsi="Book Antiqua" w:cs="Times New Roman"/>
        </w:rPr>
        <w:t xml:space="preserve"> primary cooperative. The results showed that the liquidity and solvency ratios fluctuated, while profitability showed fairly good results. Furthermore, </w:t>
      </w:r>
      <w:proofErr w:type="spellStart"/>
      <w:r w:rsidRPr="003657D6">
        <w:rPr>
          <w:rFonts w:ascii="Book Antiqua" w:hAnsi="Book Antiqua" w:cs="Times New Roman"/>
        </w:rPr>
        <w:t>Ninuk</w:t>
      </w:r>
      <w:proofErr w:type="spellEnd"/>
      <w:r w:rsidRPr="003657D6">
        <w:rPr>
          <w:rFonts w:ascii="Book Antiqua" w:hAnsi="Book Antiqua" w:cs="Times New Roman"/>
        </w:rPr>
        <w:t xml:space="preserve"> </w:t>
      </w:r>
      <w:proofErr w:type="spellStart"/>
      <w:r w:rsidRPr="003657D6">
        <w:rPr>
          <w:rFonts w:ascii="Book Antiqua" w:hAnsi="Book Antiqua" w:cs="Times New Roman"/>
        </w:rPr>
        <w:t>Riesmiyantiningtias</w:t>
      </w:r>
      <w:proofErr w:type="spellEnd"/>
      <w:r w:rsidRPr="003657D6">
        <w:rPr>
          <w:rFonts w:ascii="Book Antiqua" w:hAnsi="Book Antiqua" w:cs="Times New Roman"/>
        </w:rPr>
        <w:t xml:space="preserve"> and Ade </w:t>
      </w:r>
      <w:proofErr w:type="spellStart"/>
      <w:r w:rsidRPr="003657D6">
        <w:rPr>
          <w:rFonts w:ascii="Book Antiqua" w:hAnsi="Book Antiqua" w:cs="Times New Roman"/>
        </w:rPr>
        <w:t>Onny</w:t>
      </w:r>
      <w:proofErr w:type="spellEnd"/>
      <w:r w:rsidRPr="003657D6">
        <w:rPr>
          <w:rFonts w:ascii="Book Antiqua" w:hAnsi="Book Antiqua" w:cs="Times New Roman"/>
        </w:rPr>
        <w:t xml:space="preserve"> </w:t>
      </w:r>
      <w:proofErr w:type="spellStart"/>
      <w:r w:rsidRPr="003657D6">
        <w:rPr>
          <w:rFonts w:ascii="Book Antiqua" w:hAnsi="Book Antiqua" w:cs="Times New Roman"/>
        </w:rPr>
        <w:t>Siagian</w:t>
      </w:r>
      <w:proofErr w:type="spellEnd"/>
      <w:r w:rsidRPr="003657D6">
        <w:rPr>
          <w:rFonts w:ascii="Book Antiqua" w:hAnsi="Book Antiqua" w:cs="Times New Roman"/>
        </w:rPr>
        <w:t xml:space="preserve"> (2020) in the </w:t>
      </w:r>
      <w:proofErr w:type="spellStart"/>
      <w:r w:rsidRPr="003657D6">
        <w:rPr>
          <w:rFonts w:ascii="Book Antiqua" w:hAnsi="Book Antiqua" w:cs="Times New Roman"/>
        </w:rPr>
        <w:t>Akrab</w:t>
      </w:r>
      <w:proofErr w:type="spellEnd"/>
      <w:r w:rsidRPr="003657D6">
        <w:rPr>
          <w:rFonts w:ascii="Book Antiqua" w:hAnsi="Book Antiqua" w:cs="Times New Roman"/>
        </w:rPr>
        <w:t xml:space="preserve"> </w:t>
      </w:r>
      <w:proofErr w:type="spellStart"/>
      <w:r w:rsidRPr="003657D6">
        <w:rPr>
          <w:rFonts w:ascii="Book Antiqua" w:hAnsi="Book Antiqua" w:cs="Times New Roman"/>
        </w:rPr>
        <w:t>Juara</w:t>
      </w:r>
      <w:proofErr w:type="spellEnd"/>
      <w:r w:rsidRPr="003657D6">
        <w:rPr>
          <w:rFonts w:ascii="Book Antiqua" w:hAnsi="Book Antiqua" w:cs="Times New Roman"/>
        </w:rPr>
        <w:t xml:space="preserve"> Journal Vol.5 No.4 researched the financial reports of PT Midi Utama Indonesia </w:t>
      </w:r>
      <w:proofErr w:type="spellStart"/>
      <w:r w:rsidRPr="003657D6">
        <w:rPr>
          <w:rFonts w:ascii="Book Antiqua" w:hAnsi="Book Antiqua" w:cs="Times New Roman"/>
        </w:rPr>
        <w:t>Tbk</w:t>
      </w:r>
      <w:proofErr w:type="spellEnd"/>
      <w:r w:rsidRPr="003657D6">
        <w:rPr>
          <w:rFonts w:ascii="Book Antiqua" w:hAnsi="Book Antiqua" w:cs="Times New Roman"/>
        </w:rPr>
        <w:t xml:space="preserve">. This study concluded that the company has a good ability to meet its obligations and generate adequate profits. Titi Rahmawati and Hari Sulistiyo (2022) in the Journal of Management and Accounting Science Vol.10 No.2 found that PT Astra </w:t>
      </w:r>
      <w:proofErr w:type="spellStart"/>
      <w:r w:rsidRPr="003657D6">
        <w:rPr>
          <w:rFonts w:ascii="Book Antiqua" w:hAnsi="Book Antiqua" w:cs="Times New Roman"/>
        </w:rPr>
        <w:t>Otoparts</w:t>
      </w:r>
      <w:proofErr w:type="spellEnd"/>
      <w:r w:rsidRPr="003657D6">
        <w:rPr>
          <w:rFonts w:ascii="Book Antiqua" w:hAnsi="Book Antiqua" w:cs="Times New Roman"/>
        </w:rPr>
        <w:t xml:space="preserve"> </w:t>
      </w:r>
      <w:proofErr w:type="spellStart"/>
      <w:r w:rsidRPr="003657D6">
        <w:rPr>
          <w:rFonts w:ascii="Book Antiqua" w:hAnsi="Book Antiqua" w:cs="Times New Roman"/>
        </w:rPr>
        <w:t>Tbk</w:t>
      </w:r>
      <w:proofErr w:type="spellEnd"/>
      <w:r w:rsidRPr="003657D6">
        <w:rPr>
          <w:rFonts w:ascii="Book Antiqua" w:hAnsi="Book Antiqua" w:cs="Times New Roman"/>
        </w:rPr>
        <w:t xml:space="preserve"> experienced a decline in profitability in 2020 due to an increase in cost of goods sold. Oki Iqbal Khair (2020) in the Feasible Scientific Journal Vol.2 No.2 analyzed the liquidity, activity, and profitability ratios of PT Astra </w:t>
      </w:r>
      <w:proofErr w:type="spellStart"/>
      <w:r w:rsidRPr="003657D6">
        <w:rPr>
          <w:rFonts w:ascii="Book Antiqua" w:hAnsi="Book Antiqua" w:cs="Times New Roman"/>
        </w:rPr>
        <w:t>Otoparts</w:t>
      </w:r>
      <w:proofErr w:type="spellEnd"/>
      <w:r w:rsidRPr="003657D6">
        <w:rPr>
          <w:rFonts w:ascii="Book Antiqua" w:hAnsi="Book Antiqua" w:cs="Times New Roman"/>
        </w:rPr>
        <w:t xml:space="preserve"> </w:t>
      </w:r>
      <w:proofErr w:type="spellStart"/>
      <w:r w:rsidRPr="003657D6">
        <w:rPr>
          <w:rFonts w:ascii="Book Antiqua" w:hAnsi="Book Antiqua" w:cs="Times New Roman"/>
        </w:rPr>
        <w:t>Tbk</w:t>
      </w:r>
      <w:proofErr w:type="spellEnd"/>
      <w:r w:rsidRPr="003657D6">
        <w:rPr>
          <w:rFonts w:ascii="Book Antiqua" w:hAnsi="Book Antiqua" w:cs="Times New Roman"/>
        </w:rPr>
        <w:t xml:space="preserve"> for the period 2008–2017. The results showed that the company's financial performance was still below the industry average for liquidity and activity ratios, but it had fairly good profitability.</w:t>
      </w:r>
    </w:p>
    <w:p w14:paraId="708567CC" w14:textId="77777777" w:rsidR="00052E06" w:rsidRPr="00052E06" w:rsidRDefault="00052E06" w:rsidP="00052E06">
      <w:pPr>
        <w:spacing w:line="240" w:lineRule="auto"/>
        <w:ind w:firstLine="360"/>
        <w:jc w:val="both"/>
        <w:rPr>
          <w:rFonts w:ascii="Book Antiqua" w:hAnsi="Book Antiqua" w:cs="Times New Roman"/>
        </w:rPr>
      </w:pPr>
      <w:r w:rsidRPr="00052E06">
        <w:rPr>
          <w:rFonts w:ascii="Book Antiqua" w:hAnsi="Book Antiqua" w:cs="Times New Roman"/>
        </w:rPr>
        <w:t xml:space="preserve">Based on the results of this study, it can be concluded that financial ratio analysis is an important tool in assessing and comparing financial performance between companies. However, research on telecommunications infrastructure companies </w:t>
      </w:r>
      <w:r w:rsidRPr="00052E06">
        <w:rPr>
          <w:rFonts w:ascii="Book Antiqua" w:hAnsi="Book Antiqua" w:cs="Times New Roman"/>
        </w:rPr>
        <w:lastRenderedPageBreak/>
        <w:t xml:space="preserve">such as PT </w:t>
      </w:r>
      <w:proofErr w:type="spellStart"/>
      <w:r w:rsidRPr="00052E06">
        <w:rPr>
          <w:rFonts w:ascii="Book Antiqua" w:hAnsi="Book Antiqua" w:cs="Times New Roman"/>
        </w:rPr>
        <w:t>Solusi</w:t>
      </w:r>
      <w:proofErr w:type="spellEnd"/>
      <w:r w:rsidRPr="00052E06">
        <w:rPr>
          <w:rFonts w:ascii="Book Antiqua" w:hAnsi="Book Antiqua" w:cs="Times New Roman"/>
        </w:rPr>
        <w:t xml:space="preserve"> Tunas </w:t>
      </w:r>
      <w:proofErr w:type="spellStart"/>
      <w:r w:rsidRPr="00052E06">
        <w:rPr>
          <w:rFonts w:ascii="Book Antiqua" w:hAnsi="Book Antiqua" w:cs="Times New Roman"/>
        </w:rPr>
        <w:t>Pratama</w:t>
      </w:r>
      <w:proofErr w:type="spellEnd"/>
      <w:r w:rsidRPr="00052E06">
        <w:rPr>
          <w:rFonts w:ascii="Book Antiqua" w:hAnsi="Book Antiqua" w:cs="Times New Roman"/>
        </w:rPr>
        <w:t xml:space="preserve"> </w:t>
      </w:r>
      <w:proofErr w:type="spellStart"/>
      <w:r w:rsidRPr="00052E06">
        <w:rPr>
          <w:rFonts w:ascii="Book Antiqua" w:hAnsi="Book Antiqua" w:cs="Times New Roman"/>
        </w:rPr>
        <w:t>Tbk</w:t>
      </w:r>
      <w:proofErr w:type="spellEnd"/>
      <w:r w:rsidRPr="00052E06">
        <w:rPr>
          <w:rFonts w:ascii="Book Antiqua" w:hAnsi="Book Antiqua" w:cs="Times New Roman"/>
        </w:rPr>
        <w:t xml:space="preserve"> is still limited. Therefore, this study was conducted to fill this gap by analyzing STP's financial performance during the 2015–2024 period.</w:t>
      </w:r>
    </w:p>
    <w:p w14:paraId="6CCF09E3" w14:textId="5DBB41A6" w:rsidR="008110C6" w:rsidRDefault="008110C6" w:rsidP="00DA1A16">
      <w:pPr>
        <w:spacing w:line="240" w:lineRule="auto"/>
        <w:jc w:val="both"/>
        <w:rPr>
          <w:rFonts w:ascii="Book Antiqua" w:hAnsi="Book Antiqua" w:cs="Times New Roman"/>
          <w:b/>
          <w:bCs/>
        </w:rPr>
      </w:pPr>
      <w:r w:rsidRPr="00561D13">
        <w:rPr>
          <w:rFonts w:ascii="Book Antiqua" w:hAnsi="Book Antiqua" w:cs="Times New Roman"/>
          <w:b/>
          <w:bCs/>
        </w:rPr>
        <w:t>Method</w:t>
      </w:r>
    </w:p>
    <w:p w14:paraId="31A9EC37" w14:textId="77777777" w:rsidR="00052E06" w:rsidRDefault="00052E06" w:rsidP="00052E06">
      <w:pPr>
        <w:spacing w:line="240" w:lineRule="auto"/>
        <w:ind w:firstLine="720"/>
        <w:jc w:val="both"/>
        <w:rPr>
          <w:rFonts w:ascii="Book Antiqua" w:hAnsi="Book Antiqua" w:cs="Times New Roman"/>
        </w:rPr>
      </w:pPr>
      <w:r w:rsidRPr="00052E06">
        <w:rPr>
          <w:rFonts w:ascii="Book Antiqua" w:hAnsi="Book Antiqua" w:cs="Times New Roman"/>
        </w:rPr>
        <w:t>This study uses a quantitative descriptive approach, which is a research method that aims to describe and analyze the financial condition of a company based on numerical data from financial statements. This approach is used because the study focuses on measuring financial performance using financial ratios that can be calculated objectively and analyzed comparatively between periods (</w:t>
      </w:r>
      <w:proofErr w:type="spellStart"/>
      <w:r w:rsidRPr="00052E06">
        <w:rPr>
          <w:rFonts w:ascii="Book Antiqua" w:hAnsi="Book Antiqua" w:cs="Times New Roman"/>
        </w:rPr>
        <w:t>Sugiyono</w:t>
      </w:r>
      <w:proofErr w:type="spellEnd"/>
      <w:r w:rsidRPr="00052E06">
        <w:rPr>
          <w:rFonts w:ascii="Book Antiqua" w:hAnsi="Book Antiqua" w:cs="Times New Roman"/>
        </w:rPr>
        <w:t>, 2019).</w:t>
      </w:r>
    </w:p>
    <w:p w14:paraId="62A7F5FA" w14:textId="77777777" w:rsidR="00052E06" w:rsidRDefault="00052E06" w:rsidP="00052E06">
      <w:pPr>
        <w:spacing w:line="240" w:lineRule="auto"/>
        <w:ind w:firstLine="720"/>
        <w:jc w:val="both"/>
        <w:rPr>
          <w:rFonts w:ascii="Book Antiqua" w:hAnsi="Book Antiqua" w:cs="Times New Roman"/>
        </w:rPr>
      </w:pPr>
      <w:r w:rsidRPr="00052E06">
        <w:rPr>
          <w:rFonts w:ascii="Book Antiqua" w:hAnsi="Book Antiqua" w:cs="Times New Roman"/>
        </w:rPr>
        <w:t xml:space="preserve">The type of data used in this study is secondary data, which is data obtained indirectly through official company documents. The secondary data in this study are in the form of annual financial reports of PT </w:t>
      </w:r>
      <w:proofErr w:type="spellStart"/>
      <w:r w:rsidRPr="00052E06">
        <w:rPr>
          <w:rFonts w:ascii="Book Antiqua" w:hAnsi="Book Antiqua" w:cs="Times New Roman"/>
        </w:rPr>
        <w:t>Solusi</w:t>
      </w:r>
      <w:proofErr w:type="spellEnd"/>
      <w:r w:rsidRPr="00052E06">
        <w:rPr>
          <w:rFonts w:ascii="Book Antiqua" w:hAnsi="Book Antiqua" w:cs="Times New Roman"/>
        </w:rPr>
        <w:t xml:space="preserve"> Tunas </w:t>
      </w:r>
      <w:proofErr w:type="spellStart"/>
      <w:r w:rsidRPr="00052E06">
        <w:rPr>
          <w:rFonts w:ascii="Book Antiqua" w:hAnsi="Book Antiqua" w:cs="Times New Roman"/>
        </w:rPr>
        <w:t>Pratama</w:t>
      </w:r>
      <w:proofErr w:type="spellEnd"/>
      <w:r w:rsidRPr="00052E06">
        <w:rPr>
          <w:rFonts w:ascii="Book Antiqua" w:hAnsi="Book Antiqua" w:cs="Times New Roman"/>
        </w:rPr>
        <w:t xml:space="preserve"> </w:t>
      </w:r>
      <w:proofErr w:type="spellStart"/>
      <w:r w:rsidRPr="00052E06">
        <w:rPr>
          <w:rFonts w:ascii="Book Antiqua" w:hAnsi="Book Antiqua" w:cs="Times New Roman"/>
        </w:rPr>
        <w:t>Tbk</w:t>
      </w:r>
      <w:proofErr w:type="spellEnd"/>
      <w:r w:rsidRPr="00052E06">
        <w:rPr>
          <w:rFonts w:ascii="Book Antiqua" w:hAnsi="Book Antiqua" w:cs="Times New Roman"/>
        </w:rPr>
        <w:t xml:space="preserve"> for the 2015–2024 period, obtained from the company's official website https://www.stptower.com and other publications available on the Indonesia Stock Exchange (IDX) (PT </w:t>
      </w:r>
      <w:proofErr w:type="spellStart"/>
      <w:r w:rsidRPr="00052E06">
        <w:rPr>
          <w:rFonts w:ascii="Book Antiqua" w:hAnsi="Book Antiqua" w:cs="Times New Roman"/>
        </w:rPr>
        <w:t>Solusi</w:t>
      </w:r>
      <w:proofErr w:type="spellEnd"/>
      <w:r w:rsidRPr="00052E06">
        <w:rPr>
          <w:rFonts w:ascii="Book Antiqua" w:hAnsi="Book Antiqua" w:cs="Times New Roman"/>
        </w:rPr>
        <w:t xml:space="preserve"> Tunas </w:t>
      </w:r>
      <w:proofErr w:type="spellStart"/>
      <w:r w:rsidRPr="00052E06">
        <w:rPr>
          <w:rFonts w:ascii="Book Antiqua" w:hAnsi="Book Antiqua" w:cs="Times New Roman"/>
        </w:rPr>
        <w:t>Pratama</w:t>
      </w:r>
      <w:proofErr w:type="spellEnd"/>
      <w:r w:rsidRPr="00052E06">
        <w:rPr>
          <w:rFonts w:ascii="Book Antiqua" w:hAnsi="Book Antiqua" w:cs="Times New Roman"/>
        </w:rPr>
        <w:t xml:space="preserve"> </w:t>
      </w:r>
      <w:proofErr w:type="spellStart"/>
      <w:r w:rsidRPr="00052E06">
        <w:rPr>
          <w:rFonts w:ascii="Book Antiqua" w:hAnsi="Book Antiqua" w:cs="Times New Roman"/>
        </w:rPr>
        <w:t>Tbk</w:t>
      </w:r>
      <w:proofErr w:type="spellEnd"/>
      <w:r w:rsidRPr="00052E06">
        <w:rPr>
          <w:rFonts w:ascii="Book Antiqua" w:hAnsi="Book Antiqua" w:cs="Times New Roman"/>
        </w:rPr>
        <w:t>, 2015–2024).</w:t>
      </w:r>
    </w:p>
    <w:p w14:paraId="532601CB" w14:textId="14AA41B8" w:rsidR="00052E06" w:rsidRDefault="00052E06" w:rsidP="00052E06">
      <w:pPr>
        <w:spacing w:line="240" w:lineRule="auto"/>
        <w:ind w:firstLine="720"/>
        <w:jc w:val="both"/>
        <w:rPr>
          <w:rFonts w:ascii="Book Antiqua" w:hAnsi="Book Antiqua" w:cs="Times New Roman"/>
        </w:rPr>
      </w:pPr>
      <w:r w:rsidRPr="00052E06">
        <w:rPr>
          <w:rFonts w:ascii="Book Antiqua" w:hAnsi="Book Antiqua" w:cs="Times New Roman"/>
        </w:rPr>
        <w:t>The data used includes income statements, financial position reports (balance sheets), and cash flow reports during the research period. These data are used as the basis for calculating various financial ratios that describe the Company's liquidity, activity, solvency, and profitability (Hery, 2017).</w:t>
      </w:r>
    </w:p>
    <w:p w14:paraId="1D8493F5" w14:textId="458AD75B" w:rsidR="00F27002" w:rsidRPr="00561D13" w:rsidRDefault="00052E06" w:rsidP="00052E06">
      <w:pPr>
        <w:spacing w:line="240" w:lineRule="auto"/>
        <w:ind w:firstLine="720"/>
        <w:jc w:val="both"/>
        <w:rPr>
          <w:rFonts w:ascii="Book Antiqua" w:hAnsi="Book Antiqua" w:cs="Times New Roman"/>
        </w:rPr>
      </w:pPr>
      <w:r w:rsidRPr="00052E06">
        <w:rPr>
          <w:rFonts w:ascii="Book Antiqua" w:hAnsi="Book Antiqua" w:cs="Times New Roman"/>
        </w:rPr>
        <w:t>Data collection techniques were carried out through documentation studies, namely collecting and reviewing published company financial reports. In addition, researchers also utilized additional literature such as textbooks, scientific journals, and financial articles relevant to the topic of financial ratio analysis (</w:t>
      </w:r>
      <w:proofErr w:type="spellStart"/>
      <w:r w:rsidRPr="00052E06">
        <w:rPr>
          <w:rFonts w:ascii="Book Antiqua" w:hAnsi="Book Antiqua" w:cs="Times New Roman"/>
        </w:rPr>
        <w:t>Sugiyono</w:t>
      </w:r>
      <w:proofErr w:type="spellEnd"/>
      <w:r w:rsidRPr="00052E06">
        <w:rPr>
          <w:rFonts w:ascii="Book Antiqua" w:hAnsi="Book Antiqua" w:cs="Times New Roman"/>
        </w:rPr>
        <w:t xml:space="preserve">, 2019; </w:t>
      </w:r>
      <w:proofErr w:type="spellStart"/>
      <w:r w:rsidRPr="00052E06">
        <w:rPr>
          <w:rFonts w:ascii="Book Antiqua" w:hAnsi="Book Antiqua" w:cs="Times New Roman"/>
        </w:rPr>
        <w:t>Kasmir</w:t>
      </w:r>
      <w:proofErr w:type="spellEnd"/>
      <w:r w:rsidRPr="00052E06">
        <w:rPr>
          <w:rFonts w:ascii="Book Antiqua" w:hAnsi="Book Antiqua" w:cs="Times New Roman"/>
        </w:rPr>
        <w:t>, 2018).</w:t>
      </w:r>
    </w:p>
    <w:tbl>
      <w:tblPr>
        <w:tblStyle w:val="TableGrid"/>
        <w:tblW w:w="9209" w:type="dxa"/>
        <w:tblLook w:val="04A0" w:firstRow="1" w:lastRow="0" w:firstColumn="1" w:lastColumn="0" w:noHBand="0" w:noVBand="1"/>
      </w:tblPr>
      <w:tblGrid>
        <w:gridCol w:w="553"/>
        <w:gridCol w:w="1489"/>
        <w:gridCol w:w="1613"/>
        <w:gridCol w:w="4562"/>
        <w:gridCol w:w="992"/>
      </w:tblGrid>
      <w:tr w:rsidR="00052E06" w:rsidRPr="00C72B4E" w14:paraId="68BFB64F" w14:textId="77777777" w:rsidTr="00052E06">
        <w:tc>
          <w:tcPr>
            <w:tcW w:w="553" w:type="dxa"/>
          </w:tcPr>
          <w:p w14:paraId="069996B7" w14:textId="74D9D3BC" w:rsidR="007B03F3" w:rsidRPr="00C72B4E" w:rsidRDefault="007B03F3" w:rsidP="00052E06">
            <w:pPr>
              <w:jc w:val="center"/>
              <w:rPr>
                <w:rFonts w:ascii="Book Antiqua" w:hAnsi="Book Antiqua" w:cs="Times New Roman"/>
                <w:b/>
                <w:bCs/>
                <w:sz w:val="20"/>
                <w:szCs w:val="20"/>
              </w:rPr>
            </w:pPr>
            <w:r w:rsidRPr="00C72B4E">
              <w:rPr>
                <w:rFonts w:ascii="Book Antiqua" w:hAnsi="Book Antiqua" w:cs="Times New Roman"/>
                <w:b/>
                <w:bCs/>
                <w:sz w:val="20"/>
                <w:szCs w:val="20"/>
              </w:rPr>
              <w:t>No</w:t>
            </w:r>
          </w:p>
        </w:tc>
        <w:tc>
          <w:tcPr>
            <w:tcW w:w="1489" w:type="dxa"/>
          </w:tcPr>
          <w:p w14:paraId="4D379FE7" w14:textId="19530498" w:rsidR="007B03F3" w:rsidRPr="00C72B4E" w:rsidRDefault="007B03F3" w:rsidP="00052E06">
            <w:pPr>
              <w:jc w:val="center"/>
              <w:rPr>
                <w:rFonts w:ascii="Book Antiqua" w:hAnsi="Book Antiqua" w:cs="Times New Roman"/>
                <w:b/>
                <w:bCs/>
                <w:sz w:val="20"/>
                <w:szCs w:val="20"/>
              </w:rPr>
            </w:pPr>
            <w:r w:rsidRPr="00C72B4E">
              <w:rPr>
                <w:rFonts w:ascii="Book Antiqua" w:hAnsi="Book Antiqua" w:cs="Times New Roman"/>
                <w:b/>
                <w:bCs/>
                <w:sz w:val="20"/>
                <w:szCs w:val="20"/>
              </w:rPr>
              <w:t>Variables</w:t>
            </w:r>
          </w:p>
        </w:tc>
        <w:tc>
          <w:tcPr>
            <w:tcW w:w="1613" w:type="dxa"/>
          </w:tcPr>
          <w:p w14:paraId="69FE4E50" w14:textId="5870A50F" w:rsidR="007B03F3" w:rsidRPr="00C72B4E" w:rsidRDefault="007B03F3" w:rsidP="00052E06">
            <w:pPr>
              <w:jc w:val="center"/>
              <w:rPr>
                <w:rFonts w:ascii="Book Antiqua" w:hAnsi="Book Antiqua" w:cs="Times New Roman"/>
                <w:b/>
                <w:bCs/>
                <w:sz w:val="20"/>
                <w:szCs w:val="20"/>
              </w:rPr>
            </w:pPr>
            <w:r w:rsidRPr="00C72B4E">
              <w:rPr>
                <w:rFonts w:ascii="Book Antiqua" w:hAnsi="Book Antiqua" w:cs="Times New Roman"/>
                <w:b/>
                <w:bCs/>
                <w:sz w:val="20"/>
                <w:szCs w:val="20"/>
              </w:rPr>
              <w:t>Definition</w:t>
            </w:r>
          </w:p>
        </w:tc>
        <w:tc>
          <w:tcPr>
            <w:tcW w:w="4562" w:type="dxa"/>
          </w:tcPr>
          <w:p w14:paraId="5C0F3465" w14:textId="00F6E082" w:rsidR="007B03F3" w:rsidRPr="00C72B4E" w:rsidRDefault="007B03F3" w:rsidP="00052E06">
            <w:pPr>
              <w:jc w:val="center"/>
              <w:rPr>
                <w:rFonts w:ascii="Book Antiqua" w:hAnsi="Book Antiqua" w:cs="Times New Roman"/>
                <w:b/>
                <w:bCs/>
                <w:sz w:val="20"/>
                <w:szCs w:val="20"/>
              </w:rPr>
            </w:pPr>
            <w:proofErr w:type="spellStart"/>
            <w:r w:rsidRPr="00C72B4E">
              <w:rPr>
                <w:rFonts w:ascii="Book Antiqua" w:hAnsi="Book Antiqua" w:cs="Times New Roman"/>
                <w:b/>
                <w:bCs/>
                <w:sz w:val="20"/>
                <w:szCs w:val="20"/>
              </w:rPr>
              <w:t>Indikador</w:t>
            </w:r>
            <w:proofErr w:type="spellEnd"/>
          </w:p>
        </w:tc>
        <w:tc>
          <w:tcPr>
            <w:tcW w:w="992" w:type="dxa"/>
          </w:tcPr>
          <w:p w14:paraId="4E59DEA8" w14:textId="06AD96B7" w:rsidR="007B03F3" w:rsidRPr="00C72B4E" w:rsidRDefault="007B03F3" w:rsidP="00052E06">
            <w:pPr>
              <w:jc w:val="center"/>
              <w:rPr>
                <w:rFonts w:ascii="Book Antiqua" w:hAnsi="Book Antiqua" w:cs="Times New Roman"/>
                <w:b/>
                <w:bCs/>
                <w:sz w:val="20"/>
                <w:szCs w:val="20"/>
              </w:rPr>
            </w:pPr>
            <w:r w:rsidRPr="00C72B4E">
              <w:rPr>
                <w:rFonts w:ascii="Book Antiqua" w:hAnsi="Book Antiqua" w:cs="Times New Roman"/>
                <w:b/>
                <w:bCs/>
                <w:sz w:val="20"/>
                <w:szCs w:val="20"/>
              </w:rPr>
              <w:t>Scale</w:t>
            </w:r>
          </w:p>
        </w:tc>
      </w:tr>
      <w:tr w:rsidR="00052E06" w:rsidRPr="00C72B4E" w14:paraId="3B11AD7C" w14:textId="77777777" w:rsidTr="00052E06">
        <w:tc>
          <w:tcPr>
            <w:tcW w:w="553" w:type="dxa"/>
          </w:tcPr>
          <w:p w14:paraId="1DC1E864" w14:textId="359E0C7C" w:rsidR="007B03F3" w:rsidRPr="00C72B4E" w:rsidRDefault="007B03F3" w:rsidP="00DA1A16">
            <w:pPr>
              <w:jc w:val="both"/>
              <w:rPr>
                <w:rFonts w:ascii="Book Antiqua" w:hAnsi="Book Antiqua" w:cs="Times New Roman"/>
                <w:sz w:val="20"/>
                <w:szCs w:val="20"/>
              </w:rPr>
            </w:pPr>
            <w:r w:rsidRPr="00C72B4E">
              <w:rPr>
                <w:rFonts w:ascii="Book Antiqua" w:hAnsi="Book Antiqua" w:cs="Times New Roman"/>
                <w:sz w:val="20"/>
                <w:szCs w:val="20"/>
              </w:rPr>
              <w:t>1</w:t>
            </w:r>
          </w:p>
        </w:tc>
        <w:tc>
          <w:tcPr>
            <w:tcW w:w="1489" w:type="dxa"/>
          </w:tcPr>
          <w:p w14:paraId="1C0A5C41" w14:textId="77777777" w:rsidR="007B03F3" w:rsidRPr="00C72B4E" w:rsidRDefault="007B03F3" w:rsidP="00DA1A16">
            <w:pPr>
              <w:jc w:val="both"/>
              <w:rPr>
                <w:rFonts w:ascii="Book Antiqua" w:hAnsi="Book Antiqua" w:cs="Times New Roman"/>
                <w:sz w:val="20"/>
                <w:szCs w:val="20"/>
              </w:rPr>
            </w:pPr>
            <w:r w:rsidRPr="00C72B4E">
              <w:rPr>
                <w:rFonts w:ascii="Book Antiqua" w:hAnsi="Book Antiqua" w:cs="Times New Roman"/>
                <w:sz w:val="20"/>
                <w:szCs w:val="20"/>
              </w:rPr>
              <w:t>Liquidity Ratio</w:t>
            </w:r>
          </w:p>
          <w:p w14:paraId="32FD0930" w14:textId="2433EA36" w:rsidR="007B03F3" w:rsidRPr="00C72B4E" w:rsidRDefault="007B03F3" w:rsidP="00DA1A16">
            <w:pPr>
              <w:jc w:val="both"/>
              <w:rPr>
                <w:rFonts w:ascii="Book Antiqua" w:hAnsi="Book Antiqua" w:cs="Times New Roman"/>
                <w:sz w:val="20"/>
                <w:szCs w:val="20"/>
              </w:rPr>
            </w:pPr>
            <w:r w:rsidRPr="00C72B4E">
              <w:rPr>
                <w:rFonts w:ascii="Book Antiqua" w:hAnsi="Book Antiqua" w:cs="Times New Roman"/>
                <w:sz w:val="20"/>
                <w:szCs w:val="20"/>
              </w:rPr>
              <w:t>(X1)</w:t>
            </w:r>
          </w:p>
        </w:tc>
        <w:tc>
          <w:tcPr>
            <w:tcW w:w="1613" w:type="dxa"/>
          </w:tcPr>
          <w:p w14:paraId="30564D81" w14:textId="0242318C" w:rsidR="007B03F3" w:rsidRPr="00C72B4E" w:rsidRDefault="007B03F3" w:rsidP="00DA1A16">
            <w:pPr>
              <w:jc w:val="both"/>
              <w:rPr>
                <w:rFonts w:ascii="Book Antiqua" w:hAnsi="Book Antiqua" w:cs="Times New Roman"/>
                <w:sz w:val="20"/>
                <w:szCs w:val="20"/>
              </w:rPr>
            </w:pPr>
            <w:r w:rsidRPr="00C72B4E">
              <w:rPr>
                <w:rFonts w:ascii="Book Antiqua" w:hAnsi="Book Antiqua" w:cs="Times New Roman"/>
                <w:sz w:val="20"/>
                <w:szCs w:val="20"/>
              </w:rPr>
              <w:t>Liquidity ratio is a ratio that describes a company’s ability to meet its short-term obligations.</w:t>
            </w:r>
          </w:p>
        </w:tc>
        <w:tc>
          <w:tcPr>
            <w:tcW w:w="4562" w:type="dxa"/>
          </w:tcPr>
          <w:p w14:paraId="784C11C1" w14:textId="77777777" w:rsidR="007B03F3" w:rsidRPr="00C72B4E" w:rsidRDefault="007B03F3" w:rsidP="00DA1A16">
            <w:pPr>
              <w:pStyle w:val="ListParagraph"/>
              <w:numPr>
                <w:ilvl w:val="0"/>
                <w:numId w:val="5"/>
              </w:numPr>
              <w:jc w:val="both"/>
              <w:rPr>
                <w:rFonts w:ascii="Book Antiqua" w:hAnsi="Book Antiqua" w:cs="Times New Roman"/>
                <w:sz w:val="20"/>
                <w:szCs w:val="20"/>
              </w:rPr>
            </w:pPr>
            <w:r w:rsidRPr="00C72B4E">
              <w:rPr>
                <w:rFonts w:ascii="Book Antiqua" w:hAnsi="Book Antiqua" w:cs="Times New Roman"/>
                <w:sz w:val="20"/>
                <w:szCs w:val="20"/>
              </w:rPr>
              <w:t>Current Ratio</w:t>
            </w:r>
          </w:p>
          <w:p w14:paraId="48196520" w14:textId="34B1C997" w:rsidR="007B03F3" w:rsidRPr="00C72B4E" w:rsidRDefault="00C07D9E" w:rsidP="00DA1A16">
            <w:pPr>
              <w:pStyle w:val="ListParagraph"/>
              <w:jc w:val="both"/>
              <w:rPr>
                <w:rFonts w:ascii="Book Antiqua" w:eastAsiaTheme="minorEastAsia" w:hAnsi="Book Antiqua" w:cs="Times New Roman"/>
                <w:sz w:val="20"/>
                <w:szCs w:val="20"/>
              </w:rPr>
            </w:pPr>
            <m:oMath>
              <m:f>
                <m:fPr>
                  <m:ctrlPr>
                    <w:rPr>
                      <w:rFonts w:ascii="Cambria Math" w:hAnsi="Cambria Math" w:cs="Times New Roman"/>
                      <w:sz w:val="20"/>
                      <w:szCs w:val="20"/>
                    </w:rPr>
                  </m:ctrlPr>
                </m:fPr>
                <m:num>
                  <m:r>
                    <w:rPr>
                      <w:rFonts w:ascii="Cambria Math" w:hAnsi="Cambria Math" w:cs="Times New Roman"/>
                      <w:sz w:val="20"/>
                      <w:szCs w:val="20"/>
                    </w:rPr>
                    <m:t>Current</m:t>
                  </m:r>
                  <m:r>
                    <w:rPr>
                      <w:rFonts w:ascii="Cambria Math" w:hAnsi="Cambria Math" w:cs="Times New Roman"/>
                      <w:sz w:val="20"/>
                      <w:szCs w:val="20"/>
                    </w:rPr>
                    <m:t xml:space="preserve"> </m:t>
                  </m:r>
                  <m:r>
                    <w:rPr>
                      <w:rFonts w:ascii="Cambria Math" w:hAnsi="Cambria Math" w:cs="Times New Roman"/>
                      <w:sz w:val="20"/>
                      <w:szCs w:val="20"/>
                    </w:rPr>
                    <m:t>Assets</m:t>
                  </m:r>
                </m:num>
                <m:den>
                  <m:r>
                    <w:rPr>
                      <w:rFonts w:ascii="Cambria Math" w:hAnsi="Cambria Math" w:cs="Times New Roman"/>
                      <w:sz w:val="20"/>
                      <w:szCs w:val="20"/>
                    </w:rPr>
                    <m:t>Current</m:t>
                  </m:r>
                  <m:r>
                    <w:rPr>
                      <w:rFonts w:ascii="Cambria Math" w:hAnsi="Cambria Math" w:cs="Times New Roman"/>
                      <w:sz w:val="20"/>
                      <w:szCs w:val="20"/>
                    </w:rPr>
                    <m:t xml:space="preserve"> </m:t>
                  </m:r>
                  <m:r>
                    <w:rPr>
                      <w:rFonts w:ascii="Cambria Math" w:hAnsi="Cambria Math" w:cs="Times New Roman"/>
                      <w:sz w:val="20"/>
                      <w:szCs w:val="20"/>
                    </w:rPr>
                    <m:t>Liabilities</m:t>
                  </m:r>
                </m:den>
              </m:f>
            </m:oMath>
            <w:r w:rsidR="00B70A82" w:rsidRPr="00C72B4E">
              <w:rPr>
                <w:rFonts w:ascii="Book Antiqua" w:eastAsiaTheme="minorEastAsia" w:hAnsi="Book Antiqua" w:cs="Times New Roman"/>
                <w:sz w:val="20"/>
                <w:szCs w:val="20"/>
              </w:rPr>
              <w:t xml:space="preserve"> x 100%</w:t>
            </w:r>
          </w:p>
          <w:p w14:paraId="4EE1325A" w14:textId="77777777" w:rsidR="00052E06" w:rsidRPr="00C72B4E" w:rsidRDefault="00052E06" w:rsidP="00DA1A16">
            <w:pPr>
              <w:pStyle w:val="ListParagraph"/>
              <w:jc w:val="both"/>
              <w:rPr>
                <w:rFonts w:ascii="Book Antiqua" w:hAnsi="Book Antiqua" w:cs="Times New Roman"/>
                <w:sz w:val="20"/>
                <w:szCs w:val="20"/>
              </w:rPr>
            </w:pPr>
          </w:p>
          <w:p w14:paraId="109BB8E8" w14:textId="77777777" w:rsidR="007B03F3" w:rsidRPr="00C72B4E" w:rsidRDefault="007B03F3" w:rsidP="00DA1A16">
            <w:pPr>
              <w:pStyle w:val="ListParagraph"/>
              <w:numPr>
                <w:ilvl w:val="0"/>
                <w:numId w:val="5"/>
              </w:numPr>
              <w:jc w:val="both"/>
              <w:rPr>
                <w:rFonts w:ascii="Book Antiqua" w:hAnsi="Book Antiqua" w:cs="Times New Roman"/>
                <w:sz w:val="20"/>
                <w:szCs w:val="20"/>
              </w:rPr>
            </w:pPr>
            <w:r w:rsidRPr="00C72B4E">
              <w:rPr>
                <w:rFonts w:ascii="Book Antiqua" w:hAnsi="Book Antiqua" w:cs="Times New Roman"/>
                <w:sz w:val="20"/>
                <w:szCs w:val="20"/>
              </w:rPr>
              <w:t>Quick Ratio</w:t>
            </w:r>
          </w:p>
          <w:p w14:paraId="0DF41A08" w14:textId="4B07FFCD" w:rsidR="00B70A82" w:rsidRPr="00C72B4E" w:rsidRDefault="00C07D9E" w:rsidP="00DA1A16">
            <w:pPr>
              <w:pStyle w:val="ListParagraph"/>
              <w:jc w:val="both"/>
              <w:rPr>
                <w:rFonts w:ascii="Book Antiqua" w:eastAsiaTheme="minorEastAsia" w:hAnsi="Book Antiqua" w:cs="Times New Roman"/>
                <w:sz w:val="20"/>
                <w:szCs w:val="20"/>
              </w:rPr>
            </w:pPr>
            <m:oMath>
              <m:f>
                <m:fPr>
                  <m:ctrlPr>
                    <w:rPr>
                      <w:rFonts w:ascii="Cambria Math" w:hAnsi="Cambria Math" w:cs="Times New Roman"/>
                      <w:sz w:val="20"/>
                      <w:szCs w:val="20"/>
                    </w:rPr>
                  </m:ctrlPr>
                </m:fPr>
                <m:num>
                  <m:r>
                    <w:rPr>
                      <w:rFonts w:ascii="Cambria Math" w:hAnsi="Cambria Math" w:cs="Times New Roman"/>
                      <w:sz w:val="20"/>
                      <w:szCs w:val="20"/>
                    </w:rPr>
                    <m:t>Current</m:t>
                  </m:r>
                  <m:r>
                    <w:rPr>
                      <w:rFonts w:ascii="Cambria Math" w:hAnsi="Cambria Math" w:cs="Times New Roman"/>
                      <w:sz w:val="20"/>
                      <w:szCs w:val="20"/>
                    </w:rPr>
                    <m:t xml:space="preserve"> </m:t>
                  </m:r>
                  <m:r>
                    <w:rPr>
                      <w:rFonts w:ascii="Cambria Math" w:hAnsi="Cambria Math" w:cs="Times New Roman"/>
                      <w:sz w:val="20"/>
                      <w:szCs w:val="20"/>
                    </w:rPr>
                    <m:t>Assets</m:t>
                  </m:r>
                  <m:r>
                    <w:rPr>
                      <w:rFonts w:ascii="Cambria Math" w:hAnsi="Cambria Math" w:cs="Times New Roman"/>
                      <w:sz w:val="20"/>
                      <w:szCs w:val="20"/>
                    </w:rPr>
                    <m:t>-</m:t>
                  </m:r>
                  <m:r>
                    <w:rPr>
                      <w:rFonts w:ascii="Cambria Math" w:hAnsi="Cambria Math" w:cs="Times New Roman"/>
                      <w:sz w:val="20"/>
                      <w:szCs w:val="20"/>
                    </w:rPr>
                    <m:t>Inventories</m:t>
                  </m:r>
                </m:num>
                <m:den>
                  <m:r>
                    <w:rPr>
                      <w:rFonts w:ascii="Cambria Math" w:hAnsi="Cambria Math" w:cs="Times New Roman"/>
                      <w:sz w:val="20"/>
                      <w:szCs w:val="20"/>
                    </w:rPr>
                    <m:t>Current</m:t>
                  </m:r>
                  <m:r>
                    <w:rPr>
                      <w:rFonts w:ascii="Cambria Math" w:hAnsi="Cambria Math" w:cs="Times New Roman"/>
                      <w:sz w:val="20"/>
                      <w:szCs w:val="20"/>
                    </w:rPr>
                    <m:t xml:space="preserve"> </m:t>
                  </m:r>
                  <m:r>
                    <w:rPr>
                      <w:rFonts w:ascii="Cambria Math" w:hAnsi="Cambria Math" w:cs="Times New Roman"/>
                      <w:sz w:val="20"/>
                      <w:szCs w:val="20"/>
                    </w:rPr>
                    <m:t>Liabilities</m:t>
                  </m:r>
                </m:den>
              </m:f>
              <m:r>
                <w:rPr>
                  <w:rFonts w:ascii="Cambria Math" w:hAnsi="Cambria Math" w:cs="Times New Roman"/>
                  <w:sz w:val="20"/>
                  <w:szCs w:val="20"/>
                </w:rPr>
                <m:t xml:space="preserve"> </m:t>
              </m:r>
            </m:oMath>
            <w:r w:rsidR="00B70A82" w:rsidRPr="00C72B4E">
              <w:rPr>
                <w:rFonts w:ascii="Book Antiqua" w:eastAsiaTheme="minorEastAsia" w:hAnsi="Book Antiqua" w:cs="Times New Roman"/>
                <w:sz w:val="20"/>
                <w:szCs w:val="20"/>
              </w:rPr>
              <w:t>x 100%</w:t>
            </w:r>
          </w:p>
          <w:p w14:paraId="59790D3A" w14:textId="77777777" w:rsidR="00052E06" w:rsidRPr="00C72B4E" w:rsidRDefault="00052E06" w:rsidP="00DA1A16">
            <w:pPr>
              <w:pStyle w:val="ListParagraph"/>
              <w:jc w:val="both"/>
              <w:rPr>
                <w:rFonts w:ascii="Book Antiqua" w:hAnsi="Book Antiqua" w:cs="Times New Roman"/>
                <w:sz w:val="20"/>
                <w:szCs w:val="20"/>
              </w:rPr>
            </w:pPr>
          </w:p>
          <w:p w14:paraId="266CC48B" w14:textId="77777777" w:rsidR="007B03F3" w:rsidRPr="00C72B4E" w:rsidRDefault="007B03F3" w:rsidP="00DA1A16">
            <w:pPr>
              <w:pStyle w:val="ListParagraph"/>
              <w:numPr>
                <w:ilvl w:val="0"/>
                <w:numId w:val="5"/>
              </w:numPr>
              <w:jc w:val="both"/>
              <w:rPr>
                <w:rFonts w:ascii="Book Antiqua" w:hAnsi="Book Antiqua" w:cs="Times New Roman"/>
                <w:sz w:val="20"/>
                <w:szCs w:val="20"/>
              </w:rPr>
            </w:pPr>
            <w:r w:rsidRPr="00C72B4E">
              <w:rPr>
                <w:rFonts w:ascii="Book Antiqua" w:hAnsi="Book Antiqua" w:cs="Times New Roman"/>
                <w:sz w:val="20"/>
                <w:szCs w:val="20"/>
              </w:rPr>
              <w:t>Cash Ratio</w:t>
            </w:r>
          </w:p>
          <w:p w14:paraId="02627867" w14:textId="12F930C7" w:rsidR="00B70A82" w:rsidRPr="00C72B4E" w:rsidRDefault="00C07D9E" w:rsidP="00DA1A16">
            <w:pPr>
              <w:pStyle w:val="ListParagraph"/>
              <w:jc w:val="both"/>
              <w:rPr>
                <w:rFonts w:ascii="Book Antiqua" w:eastAsiaTheme="minorEastAsia" w:hAnsi="Book Antiqua" w:cs="Times New Roman"/>
                <w:sz w:val="20"/>
                <w:szCs w:val="20"/>
              </w:rPr>
            </w:pPr>
            <m:oMath>
              <m:f>
                <m:fPr>
                  <m:ctrlPr>
                    <w:rPr>
                      <w:rFonts w:ascii="Cambria Math" w:hAnsi="Cambria Math" w:cs="Times New Roman"/>
                      <w:sz w:val="20"/>
                      <w:szCs w:val="20"/>
                    </w:rPr>
                  </m:ctrlPr>
                </m:fPr>
                <m:num>
                  <m:r>
                    <w:rPr>
                      <w:rFonts w:ascii="Cambria Math" w:hAnsi="Cambria Math" w:cs="Times New Roman"/>
                      <w:sz w:val="20"/>
                      <w:szCs w:val="20"/>
                    </w:rPr>
                    <m:t>Cas</m:t>
                  </m:r>
                  <m:r>
                    <w:rPr>
                      <w:rFonts w:ascii="Cambria Math" w:hAnsi="Cambria Math" w:cs="Times New Roman"/>
                      <w:sz w:val="20"/>
                      <w:szCs w:val="20"/>
                    </w:rPr>
                    <m:t>h</m:t>
                  </m:r>
                  <m:r>
                    <w:rPr>
                      <w:rFonts w:ascii="Cambria Math" w:hAnsi="Cambria Math" w:cs="Times New Roman"/>
                      <w:sz w:val="20"/>
                      <w:szCs w:val="20"/>
                    </w:rPr>
                    <m:t xml:space="preserve"> </m:t>
                  </m:r>
                  <m:r>
                    <w:rPr>
                      <w:rFonts w:ascii="Cambria Math" w:hAnsi="Cambria Math" w:cs="Times New Roman"/>
                      <w:sz w:val="20"/>
                      <w:szCs w:val="20"/>
                    </w:rPr>
                    <m:t>and</m:t>
                  </m:r>
                  <m:r>
                    <w:rPr>
                      <w:rFonts w:ascii="Cambria Math" w:hAnsi="Cambria Math" w:cs="Times New Roman"/>
                      <w:sz w:val="20"/>
                      <w:szCs w:val="20"/>
                    </w:rPr>
                    <m:t xml:space="preserve"> </m:t>
                  </m:r>
                  <m:r>
                    <w:rPr>
                      <w:rFonts w:ascii="Cambria Math" w:hAnsi="Cambria Math" w:cs="Times New Roman"/>
                      <w:sz w:val="20"/>
                      <w:szCs w:val="20"/>
                    </w:rPr>
                    <m:t>Cas</m:t>
                  </m:r>
                  <m:r>
                    <w:rPr>
                      <w:rFonts w:ascii="Cambria Math" w:hAnsi="Cambria Math" w:cs="Times New Roman"/>
                      <w:sz w:val="20"/>
                      <w:szCs w:val="20"/>
                    </w:rPr>
                    <m:t>h</m:t>
                  </m:r>
                  <m:r>
                    <w:rPr>
                      <w:rFonts w:ascii="Cambria Math" w:hAnsi="Cambria Math" w:cs="Times New Roman"/>
                      <w:sz w:val="20"/>
                      <w:szCs w:val="20"/>
                    </w:rPr>
                    <m:t xml:space="preserve"> </m:t>
                  </m:r>
                  <m:r>
                    <w:rPr>
                      <w:rFonts w:ascii="Cambria Math" w:hAnsi="Cambria Math" w:cs="Times New Roman"/>
                      <w:sz w:val="20"/>
                      <w:szCs w:val="20"/>
                    </w:rPr>
                    <m:t>Equivalents</m:t>
                  </m:r>
                </m:num>
                <m:den>
                  <m:r>
                    <w:rPr>
                      <w:rFonts w:ascii="Cambria Math" w:hAnsi="Cambria Math" w:cs="Times New Roman"/>
                      <w:sz w:val="20"/>
                      <w:szCs w:val="20"/>
                    </w:rPr>
                    <m:t>Current</m:t>
                  </m:r>
                  <m:r>
                    <w:rPr>
                      <w:rFonts w:ascii="Cambria Math" w:hAnsi="Cambria Math" w:cs="Times New Roman"/>
                      <w:sz w:val="20"/>
                      <w:szCs w:val="20"/>
                    </w:rPr>
                    <m:t xml:space="preserve"> </m:t>
                  </m:r>
                  <m:r>
                    <w:rPr>
                      <w:rFonts w:ascii="Cambria Math" w:hAnsi="Cambria Math" w:cs="Times New Roman"/>
                      <w:sz w:val="20"/>
                      <w:szCs w:val="20"/>
                    </w:rPr>
                    <m:t>Liabilities</m:t>
                  </m:r>
                </m:den>
              </m:f>
            </m:oMath>
            <w:r w:rsidR="00B70A82" w:rsidRPr="00C72B4E">
              <w:rPr>
                <w:rFonts w:ascii="Book Antiqua" w:eastAsiaTheme="minorEastAsia" w:hAnsi="Book Antiqua" w:cs="Times New Roman"/>
                <w:sz w:val="20"/>
                <w:szCs w:val="20"/>
              </w:rPr>
              <w:t xml:space="preserve"> x 100%</w:t>
            </w:r>
          </w:p>
          <w:p w14:paraId="79E82A3F" w14:textId="1FC87A57" w:rsidR="00052E06" w:rsidRPr="00C72B4E" w:rsidRDefault="00052E06" w:rsidP="00DA1A16">
            <w:pPr>
              <w:pStyle w:val="ListParagraph"/>
              <w:jc w:val="both"/>
              <w:rPr>
                <w:rFonts w:ascii="Book Antiqua" w:hAnsi="Book Antiqua" w:cs="Times New Roman"/>
                <w:sz w:val="20"/>
                <w:szCs w:val="20"/>
              </w:rPr>
            </w:pPr>
          </w:p>
        </w:tc>
        <w:tc>
          <w:tcPr>
            <w:tcW w:w="992" w:type="dxa"/>
          </w:tcPr>
          <w:p w14:paraId="5AA9B1AA" w14:textId="20F3A25E" w:rsidR="007B03F3" w:rsidRPr="00C72B4E" w:rsidRDefault="007B03F3" w:rsidP="00DA1A16">
            <w:pPr>
              <w:jc w:val="both"/>
              <w:rPr>
                <w:rFonts w:ascii="Book Antiqua" w:hAnsi="Book Antiqua" w:cs="Times New Roman"/>
                <w:sz w:val="20"/>
                <w:szCs w:val="20"/>
              </w:rPr>
            </w:pPr>
            <w:r w:rsidRPr="00C72B4E">
              <w:rPr>
                <w:rFonts w:ascii="Book Antiqua" w:hAnsi="Book Antiqua" w:cs="Times New Roman"/>
                <w:sz w:val="20"/>
                <w:szCs w:val="20"/>
              </w:rPr>
              <w:t>Ratio</w:t>
            </w:r>
          </w:p>
        </w:tc>
      </w:tr>
      <w:tr w:rsidR="00052E06" w:rsidRPr="00C72B4E" w14:paraId="507621C1" w14:textId="77777777" w:rsidTr="00052E06">
        <w:tc>
          <w:tcPr>
            <w:tcW w:w="553" w:type="dxa"/>
          </w:tcPr>
          <w:p w14:paraId="30394903" w14:textId="0B51D288" w:rsidR="007B03F3" w:rsidRPr="00C72B4E" w:rsidRDefault="007B03F3" w:rsidP="00DA1A16">
            <w:pPr>
              <w:jc w:val="both"/>
              <w:rPr>
                <w:rFonts w:ascii="Book Antiqua" w:hAnsi="Book Antiqua" w:cs="Times New Roman"/>
                <w:sz w:val="20"/>
                <w:szCs w:val="20"/>
              </w:rPr>
            </w:pPr>
            <w:r w:rsidRPr="00C72B4E">
              <w:rPr>
                <w:rFonts w:ascii="Book Antiqua" w:hAnsi="Book Antiqua" w:cs="Times New Roman"/>
                <w:sz w:val="20"/>
                <w:szCs w:val="20"/>
              </w:rPr>
              <w:t>2</w:t>
            </w:r>
          </w:p>
        </w:tc>
        <w:tc>
          <w:tcPr>
            <w:tcW w:w="1489" w:type="dxa"/>
          </w:tcPr>
          <w:p w14:paraId="10CF101A" w14:textId="77777777" w:rsidR="007B03F3" w:rsidRPr="00C72B4E" w:rsidRDefault="007B03F3" w:rsidP="00DA1A16">
            <w:pPr>
              <w:jc w:val="both"/>
              <w:rPr>
                <w:rFonts w:ascii="Book Antiqua" w:hAnsi="Book Antiqua" w:cs="Times New Roman"/>
                <w:sz w:val="20"/>
                <w:szCs w:val="20"/>
              </w:rPr>
            </w:pPr>
            <w:r w:rsidRPr="00C72B4E">
              <w:rPr>
                <w:rFonts w:ascii="Book Antiqua" w:hAnsi="Book Antiqua" w:cs="Times New Roman"/>
                <w:sz w:val="20"/>
                <w:szCs w:val="20"/>
              </w:rPr>
              <w:t>Solvency Ratio</w:t>
            </w:r>
          </w:p>
          <w:p w14:paraId="20B2BF33" w14:textId="2AFC6B48" w:rsidR="007B03F3" w:rsidRPr="00C72B4E" w:rsidRDefault="007B03F3" w:rsidP="00DA1A16">
            <w:pPr>
              <w:jc w:val="both"/>
              <w:rPr>
                <w:rFonts w:ascii="Book Antiqua" w:hAnsi="Book Antiqua" w:cs="Times New Roman"/>
                <w:sz w:val="20"/>
                <w:szCs w:val="20"/>
              </w:rPr>
            </w:pPr>
            <w:r w:rsidRPr="00C72B4E">
              <w:rPr>
                <w:rFonts w:ascii="Book Antiqua" w:hAnsi="Book Antiqua" w:cs="Times New Roman"/>
                <w:sz w:val="20"/>
                <w:szCs w:val="20"/>
              </w:rPr>
              <w:t>(X2)</w:t>
            </w:r>
          </w:p>
        </w:tc>
        <w:tc>
          <w:tcPr>
            <w:tcW w:w="1613" w:type="dxa"/>
          </w:tcPr>
          <w:p w14:paraId="045DC978" w14:textId="30B00A64" w:rsidR="007B03F3" w:rsidRPr="00C72B4E" w:rsidRDefault="007B03F3" w:rsidP="00DA1A16">
            <w:pPr>
              <w:jc w:val="both"/>
              <w:rPr>
                <w:rFonts w:ascii="Book Antiqua" w:hAnsi="Book Antiqua" w:cs="Times New Roman"/>
                <w:sz w:val="20"/>
                <w:szCs w:val="20"/>
              </w:rPr>
            </w:pPr>
            <w:r w:rsidRPr="00C72B4E">
              <w:rPr>
                <w:rFonts w:ascii="Book Antiqua" w:hAnsi="Book Antiqua" w:cs="Times New Roman"/>
                <w:sz w:val="20"/>
                <w:szCs w:val="20"/>
              </w:rPr>
              <w:t>Solvency ratio is a ratio used to measure the extent to which a company’s assets are financed by debt.</w:t>
            </w:r>
          </w:p>
        </w:tc>
        <w:tc>
          <w:tcPr>
            <w:tcW w:w="4562" w:type="dxa"/>
          </w:tcPr>
          <w:p w14:paraId="0640B1A2" w14:textId="77777777" w:rsidR="007B03F3" w:rsidRPr="00C72B4E" w:rsidRDefault="00B70A82" w:rsidP="00DA1A16">
            <w:pPr>
              <w:pStyle w:val="ListParagraph"/>
              <w:numPr>
                <w:ilvl w:val="0"/>
                <w:numId w:val="6"/>
              </w:numPr>
              <w:jc w:val="both"/>
              <w:rPr>
                <w:rFonts w:ascii="Book Antiqua" w:hAnsi="Book Antiqua" w:cs="Times New Roman"/>
                <w:sz w:val="20"/>
                <w:szCs w:val="20"/>
              </w:rPr>
            </w:pPr>
            <w:r w:rsidRPr="00C72B4E">
              <w:rPr>
                <w:rFonts w:ascii="Book Antiqua" w:hAnsi="Book Antiqua" w:cs="Times New Roman"/>
                <w:sz w:val="20"/>
                <w:szCs w:val="20"/>
              </w:rPr>
              <w:t xml:space="preserve">Total Debt </w:t>
            </w:r>
            <w:proofErr w:type="gramStart"/>
            <w:r w:rsidRPr="00C72B4E">
              <w:rPr>
                <w:rFonts w:ascii="Book Antiqua" w:hAnsi="Book Antiqua" w:cs="Times New Roman"/>
                <w:sz w:val="20"/>
                <w:szCs w:val="20"/>
              </w:rPr>
              <w:t>To</w:t>
            </w:r>
            <w:proofErr w:type="gramEnd"/>
            <w:r w:rsidRPr="00C72B4E">
              <w:rPr>
                <w:rFonts w:ascii="Book Antiqua" w:hAnsi="Book Antiqua" w:cs="Times New Roman"/>
                <w:sz w:val="20"/>
                <w:szCs w:val="20"/>
              </w:rPr>
              <w:t xml:space="preserve"> Equity Ratio</w:t>
            </w:r>
          </w:p>
          <w:p w14:paraId="6E839F65" w14:textId="3AB66238" w:rsidR="00B70A82" w:rsidRPr="00C72B4E" w:rsidRDefault="00C07D9E" w:rsidP="00DA1A16">
            <w:pPr>
              <w:pStyle w:val="ListParagraph"/>
              <w:jc w:val="both"/>
              <w:rPr>
                <w:rFonts w:ascii="Book Antiqua" w:eastAsiaTheme="minorEastAsia" w:hAnsi="Book Antiqua" w:cs="Times New Roman"/>
                <w:sz w:val="20"/>
                <w:szCs w:val="20"/>
              </w:rPr>
            </w:pPr>
            <m:oMath>
              <m:f>
                <m:fPr>
                  <m:ctrlPr>
                    <w:rPr>
                      <w:rFonts w:ascii="Cambria Math" w:hAnsi="Cambria Math" w:cs="Times New Roman"/>
                      <w:sz w:val="20"/>
                      <w:szCs w:val="20"/>
                    </w:rPr>
                  </m:ctrlPr>
                </m:fPr>
                <m:num>
                  <m:r>
                    <w:rPr>
                      <w:rFonts w:ascii="Cambria Math" w:hAnsi="Cambria Math" w:cs="Times New Roman"/>
                      <w:sz w:val="20"/>
                      <w:szCs w:val="20"/>
                    </w:rPr>
                    <m:t>Tot</m:t>
                  </m:r>
                  <m:r>
                    <w:rPr>
                      <w:rFonts w:ascii="Cambria Math" w:hAnsi="Cambria Math" w:cs="Times New Roman"/>
                      <w:sz w:val="20"/>
                      <w:szCs w:val="20"/>
                    </w:rPr>
                    <m:t>al</m:t>
                  </m:r>
                  <m:r>
                    <w:rPr>
                      <w:rFonts w:ascii="Cambria Math" w:hAnsi="Cambria Math" w:cs="Times New Roman"/>
                      <w:sz w:val="20"/>
                      <w:szCs w:val="20"/>
                    </w:rPr>
                    <m:t xml:space="preserve"> </m:t>
                  </m:r>
                  <m:r>
                    <w:rPr>
                      <w:rFonts w:ascii="Cambria Math" w:hAnsi="Cambria Math" w:cs="Times New Roman"/>
                      <w:sz w:val="20"/>
                      <w:szCs w:val="20"/>
                    </w:rPr>
                    <m:t>Debt</m:t>
                  </m:r>
                </m:num>
                <m:den>
                  <m:r>
                    <w:rPr>
                      <w:rFonts w:ascii="Cambria Math" w:hAnsi="Cambria Math" w:cs="Times New Roman"/>
                      <w:sz w:val="20"/>
                      <w:szCs w:val="20"/>
                    </w:rPr>
                    <m:t>S</m:t>
                  </m:r>
                  <m:r>
                    <w:rPr>
                      <w:rFonts w:ascii="Cambria Math" w:hAnsi="Cambria Math" w:cs="Times New Roman"/>
                      <w:sz w:val="20"/>
                      <w:szCs w:val="20"/>
                    </w:rPr>
                    <m:t>h</m:t>
                  </m:r>
                  <m:r>
                    <w:rPr>
                      <w:rFonts w:ascii="Cambria Math" w:hAnsi="Cambria Math" w:cs="Times New Roman"/>
                      <w:sz w:val="20"/>
                      <w:szCs w:val="20"/>
                    </w:rPr>
                    <m:t>are</m:t>
                  </m:r>
                  <m:r>
                    <w:rPr>
                      <w:rFonts w:ascii="Cambria Math" w:hAnsi="Cambria Math" w:cs="Times New Roman"/>
                      <w:sz w:val="20"/>
                      <w:szCs w:val="20"/>
                    </w:rPr>
                    <m:t>h</m:t>
                  </m:r>
                  <m:r>
                    <w:rPr>
                      <w:rFonts w:ascii="Cambria Math" w:hAnsi="Cambria Math" w:cs="Times New Roman"/>
                      <w:sz w:val="20"/>
                      <w:szCs w:val="20"/>
                    </w:rPr>
                    <m:t>olders</m:t>
                  </m:r>
                  <m:r>
                    <w:rPr>
                      <w:rFonts w:ascii="Cambria Math" w:hAnsi="Cambria Math" w:cs="Times New Roman"/>
                      <w:sz w:val="20"/>
                      <w:szCs w:val="20"/>
                    </w:rPr>
                    <m:t xml:space="preserve">' </m:t>
                  </m:r>
                  <m:r>
                    <w:rPr>
                      <w:rFonts w:ascii="Cambria Math" w:hAnsi="Cambria Math" w:cs="Times New Roman"/>
                      <w:sz w:val="20"/>
                      <w:szCs w:val="20"/>
                    </w:rPr>
                    <m:t>Equity</m:t>
                  </m:r>
                </m:den>
              </m:f>
            </m:oMath>
            <w:r w:rsidR="00B70A82" w:rsidRPr="00C72B4E">
              <w:rPr>
                <w:rFonts w:ascii="Book Antiqua" w:eastAsiaTheme="minorEastAsia" w:hAnsi="Book Antiqua" w:cs="Times New Roman"/>
                <w:sz w:val="20"/>
                <w:szCs w:val="20"/>
              </w:rPr>
              <w:t xml:space="preserve"> x 100%</w:t>
            </w:r>
          </w:p>
          <w:p w14:paraId="484F6DBD" w14:textId="77777777" w:rsidR="00052E06" w:rsidRPr="00C72B4E" w:rsidRDefault="00052E06" w:rsidP="00DA1A16">
            <w:pPr>
              <w:pStyle w:val="ListParagraph"/>
              <w:jc w:val="both"/>
              <w:rPr>
                <w:rFonts w:ascii="Book Antiqua" w:hAnsi="Book Antiqua" w:cs="Times New Roman"/>
                <w:sz w:val="20"/>
                <w:szCs w:val="20"/>
              </w:rPr>
            </w:pPr>
          </w:p>
          <w:p w14:paraId="1BE40839" w14:textId="02EDCAC6" w:rsidR="00B70A82" w:rsidRPr="00C72B4E" w:rsidRDefault="00B70A82" w:rsidP="00DA1A16">
            <w:pPr>
              <w:pStyle w:val="ListParagraph"/>
              <w:numPr>
                <w:ilvl w:val="0"/>
                <w:numId w:val="6"/>
              </w:numPr>
              <w:jc w:val="both"/>
              <w:rPr>
                <w:rFonts w:ascii="Book Antiqua" w:hAnsi="Book Antiqua" w:cs="Times New Roman"/>
                <w:sz w:val="20"/>
                <w:szCs w:val="20"/>
              </w:rPr>
            </w:pPr>
            <w:r w:rsidRPr="00C72B4E">
              <w:rPr>
                <w:rFonts w:ascii="Book Antiqua" w:hAnsi="Book Antiqua" w:cs="Times New Roman"/>
                <w:sz w:val="20"/>
                <w:szCs w:val="20"/>
              </w:rPr>
              <w:t xml:space="preserve">Total Debt </w:t>
            </w:r>
            <w:proofErr w:type="gramStart"/>
            <w:r w:rsidRPr="00C72B4E">
              <w:rPr>
                <w:rFonts w:ascii="Book Antiqua" w:hAnsi="Book Antiqua" w:cs="Times New Roman"/>
                <w:sz w:val="20"/>
                <w:szCs w:val="20"/>
              </w:rPr>
              <w:t>To</w:t>
            </w:r>
            <w:proofErr w:type="gramEnd"/>
            <w:r w:rsidRPr="00C72B4E">
              <w:rPr>
                <w:rFonts w:ascii="Book Antiqua" w:hAnsi="Book Antiqua" w:cs="Times New Roman"/>
                <w:sz w:val="20"/>
                <w:szCs w:val="20"/>
              </w:rPr>
              <w:t xml:space="preserve"> Asset</w:t>
            </w:r>
            <w:r w:rsidR="00AA4B85" w:rsidRPr="00C72B4E">
              <w:rPr>
                <w:rFonts w:ascii="Book Antiqua" w:hAnsi="Book Antiqua" w:cs="Times New Roman"/>
                <w:sz w:val="20"/>
                <w:szCs w:val="20"/>
              </w:rPr>
              <w:t>s</w:t>
            </w:r>
            <w:r w:rsidRPr="00C72B4E">
              <w:rPr>
                <w:rFonts w:ascii="Book Antiqua" w:hAnsi="Book Antiqua" w:cs="Times New Roman"/>
                <w:sz w:val="20"/>
                <w:szCs w:val="20"/>
              </w:rPr>
              <w:t xml:space="preserve"> Ratio</w:t>
            </w:r>
          </w:p>
          <w:p w14:paraId="1D06AE14" w14:textId="711D8A48" w:rsidR="00B70A82" w:rsidRPr="00C72B4E" w:rsidRDefault="00C07D9E" w:rsidP="00DA1A16">
            <w:pPr>
              <w:pStyle w:val="ListParagraph"/>
              <w:jc w:val="both"/>
              <w:rPr>
                <w:rFonts w:ascii="Book Antiqua" w:hAnsi="Book Antiqua" w:cs="Times New Roman"/>
                <w:sz w:val="20"/>
                <w:szCs w:val="20"/>
              </w:rPr>
            </w:pPr>
            <m:oMath>
              <m:f>
                <m:fPr>
                  <m:ctrlPr>
                    <w:rPr>
                      <w:rFonts w:ascii="Cambria Math" w:hAnsi="Cambria Math" w:cs="Times New Roman"/>
                      <w:sz w:val="20"/>
                      <w:szCs w:val="20"/>
                    </w:rPr>
                  </m:ctrlPr>
                </m:fPr>
                <m:num>
                  <m:r>
                    <w:rPr>
                      <w:rFonts w:ascii="Cambria Math" w:hAnsi="Cambria Math" w:cs="Times New Roman"/>
                      <w:sz w:val="20"/>
                      <w:szCs w:val="20"/>
                    </w:rPr>
                    <m:t>Total</m:t>
                  </m:r>
                  <m:r>
                    <w:rPr>
                      <w:rFonts w:ascii="Cambria Math" w:hAnsi="Cambria Math" w:cs="Times New Roman"/>
                      <w:sz w:val="20"/>
                      <w:szCs w:val="20"/>
                    </w:rPr>
                    <m:t xml:space="preserve"> </m:t>
                  </m:r>
                  <m:r>
                    <w:rPr>
                      <w:rFonts w:ascii="Cambria Math" w:hAnsi="Cambria Math" w:cs="Times New Roman"/>
                      <w:sz w:val="20"/>
                      <w:szCs w:val="20"/>
                    </w:rPr>
                    <m:t>Debt</m:t>
                  </m:r>
                </m:num>
                <m:den>
                  <m:r>
                    <w:rPr>
                      <w:rFonts w:ascii="Cambria Math" w:hAnsi="Cambria Math" w:cs="Times New Roman"/>
                      <w:sz w:val="20"/>
                      <w:szCs w:val="20"/>
                    </w:rPr>
                    <m:t>Total</m:t>
                  </m:r>
                  <m:r>
                    <w:rPr>
                      <w:rFonts w:ascii="Cambria Math" w:hAnsi="Cambria Math" w:cs="Times New Roman"/>
                      <w:sz w:val="20"/>
                      <w:szCs w:val="20"/>
                    </w:rPr>
                    <m:t xml:space="preserve"> </m:t>
                  </m:r>
                  <m:r>
                    <w:rPr>
                      <w:rFonts w:ascii="Cambria Math" w:hAnsi="Cambria Math" w:cs="Times New Roman"/>
                      <w:sz w:val="20"/>
                      <w:szCs w:val="20"/>
                    </w:rPr>
                    <m:t>Aktiva</m:t>
                  </m:r>
                </m:den>
              </m:f>
            </m:oMath>
            <w:r w:rsidR="00B70A82" w:rsidRPr="00C72B4E">
              <w:rPr>
                <w:rFonts w:ascii="Book Antiqua" w:eastAsiaTheme="minorEastAsia" w:hAnsi="Book Antiqua" w:cs="Times New Roman"/>
                <w:sz w:val="20"/>
                <w:szCs w:val="20"/>
              </w:rPr>
              <w:t xml:space="preserve"> x 100%</w:t>
            </w:r>
          </w:p>
        </w:tc>
        <w:tc>
          <w:tcPr>
            <w:tcW w:w="992" w:type="dxa"/>
          </w:tcPr>
          <w:p w14:paraId="2450F28F" w14:textId="6BA1CD93" w:rsidR="007B03F3" w:rsidRPr="00C72B4E" w:rsidRDefault="007B03F3" w:rsidP="00DA1A16">
            <w:pPr>
              <w:jc w:val="both"/>
              <w:rPr>
                <w:rFonts w:ascii="Book Antiqua" w:hAnsi="Book Antiqua" w:cs="Times New Roman"/>
                <w:sz w:val="20"/>
                <w:szCs w:val="20"/>
              </w:rPr>
            </w:pPr>
            <w:r w:rsidRPr="00C72B4E">
              <w:rPr>
                <w:rFonts w:ascii="Book Antiqua" w:hAnsi="Book Antiqua" w:cs="Times New Roman"/>
                <w:sz w:val="20"/>
                <w:szCs w:val="20"/>
              </w:rPr>
              <w:t>Ratio</w:t>
            </w:r>
          </w:p>
        </w:tc>
      </w:tr>
      <w:tr w:rsidR="00052E06" w:rsidRPr="00C72B4E" w14:paraId="026E43CB" w14:textId="77777777" w:rsidTr="00052E06">
        <w:tc>
          <w:tcPr>
            <w:tcW w:w="553" w:type="dxa"/>
          </w:tcPr>
          <w:p w14:paraId="5EF9BFBB" w14:textId="5D066AF2" w:rsidR="007B03F3" w:rsidRPr="00C72B4E" w:rsidRDefault="007B03F3" w:rsidP="00DA1A16">
            <w:pPr>
              <w:jc w:val="both"/>
              <w:rPr>
                <w:rFonts w:ascii="Book Antiqua" w:hAnsi="Book Antiqua" w:cs="Times New Roman"/>
                <w:sz w:val="20"/>
                <w:szCs w:val="20"/>
              </w:rPr>
            </w:pPr>
            <w:r w:rsidRPr="00C72B4E">
              <w:rPr>
                <w:rFonts w:ascii="Book Antiqua" w:hAnsi="Book Antiqua" w:cs="Times New Roman"/>
                <w:sz w:val="20"/>
                <w:szCs w:val="20"/>
              </w:rPr>
              <w:lastRenderedPageBreak/>
              <w:t>3</w:t>
            </w:r>
          </w:p>
        </w:tc>
        <w:tc>
          <w:tcPr>
            <w:tcW w:w="1489" w:type="dxa"/>
          </w:tcPr>
          <w:p w14:paraId="1FC01591" w14:textId="77777777" w:rsidR="007B03F3" w:rsidRPr="00C72B4E" w:rsidRDefault="007B03F3" w:rsidP="00DA1A16">
            <w:pPr>
              <w:jc w:val="both"/>
              <w:rPr>
                <w:rFonts w:ascii="Book Antiqua" w:hAnsi="Book Antiqua" w:cs="Times New Roman"/>
                <w:sz w:val="20"/>
                <w:szCs w:val="20"/>
              </w:rPr>
            </w:pPr>
            <w:r w:rsidRPr="00C72B4E">
              <w:rPr>
                <w:rFonts w:ascii="Book Antiqua" w:hAnsi="Book Antiqua" w:cs="Times New Roman"/>
                <w:sz w:val="20"/>
                <w:szCs w:val="20"/>
              </w:rPr>
              <w:t xml:space="preserve">Activity Ratio </w:t>
            </w:r>
          </w:p>
          <w:p w14:paraId="2E3D41E0" w14:textId="57FDA4B2" w:rsidR="007B03F3" w:rsidRPr="00C72B4E" w:rsidRDefault="007B03F3" w:rsidP="00DA1A16">
            <w:pPr>
              <w:jc w:val="both"/>
              <w:rPr>
                <w:rFonts w:ascii="Book Antiqua" w:hAnsi="Book Antiqua" w:cs="Times New Roman"/>
                <w:sz w:val="20"/>
                <w:szCs w:val="20"/>
              </w:rPr>
            </w:pPr>
            <w:r w:rsidRPr="00C72B4E">
              <w:rPr>
                <w:rFonts w:ascii="Book Antiqua" w:hAnsi="Book Antiqua" w:cs="Times New Roman"/>
                <w:sz w:val="20"/>
                <w:szCs w:val="20"/>
              </w:rPr>
              <w:t>(X3)</w:t>
            </w:r>
          </w:p>
        </w:tc>
        <w:tc>
          <w:tcPr>
            <w:tcW w:w="1613" w:type="dxa"/>
          </w:tcPr>
          <w:p w14:paraId="7F14F926" w14:textId="73CB1B17" w:rsidR="007B03F3" w:rsidRPr="00C72B4E" w:rsidRDefault="007B03F3" w:rsidP="00DA1A16">
            <w:pPr>
              <w:jc w:val="both"/>
              <w:rPr>
                <w:rFonts w:ascii="Book Antiqua" w:hAnsi="Book Antiqua" w:cs="Times New Roman"/>
                <w:sz w:val="20"/>
                <w:szCs w:val="20"/>
              </w:rPr>
            </w:pPr>
            <w:r w:rsidRPr="00C72B4E">
              <w:rPr>
                <w:rFonts w:ascii="Book Antiqua" w:hAnsi="Book Antiqua" w:cs="Times New Roman"/>
                <w:sz w:val="20"/>
                <w:szCs w:val="20"/>
              </w:rPr>
              <w:t>Activity ratio is a ratio used to measure a company’s effectiveness in utilizing its assets.</w:t>
            </w:r>
          </w:p>
        </w:tc>
        <w:tc>
          <w:tcPr>
            <w:tcW w:w="4562" w:type="dxa"/>
          </w:tcPr>
          <w:p w14:paraId="47B2F85E" w14:textId="77777777" w:rsidR="007B03F3" w:rsidRPr="00C72B4E" w:rsidRDefault="00B70A82" w:rsidP="00DA1A16">
            <w:pPr>
              <w:pStyle w:val="ListParagraph"/>
              <w:numPr>
                <w:ilvl w:val="0"/>
                <w:numId w:val="7"/>
              </w:numPr>
              <w:jc w:val="both"/>
              <w:rPr>
                <w:rFonts w:ascii="Book Antiqua" w:hAnsi="Book Antiqua" w:cs="Times New Roman"/>
                <w:sz w:val="20"/>
                <w:szCs w:val="20"/>
              </w:rPr>
            </w:pPr>
            <w:r w:rsidRPr="00C72B4E">
              <w:rPr>
                <w:rFonts w:ascii="Book Antiqua" w:hAnsi="Book Antiqua" w:cs="Times New Roman"/>
                <w:sz w:val="20"/>
                <w:szCs w:val="20"/>
              </w:rPr>
              <w:t>Total Asset Turnover Ratio</w:t>
            </w:r>
          </w:p>
          <w:p w14:paraId="0AF55D0A" w14:textId="692671EF" w:rsidR="00B70A82" w:rsidRPr="00C72B4E" w:rsidRDefault="00C07D9E" w:rsidP="00DA1A16">
            <w:pPr>
              <w:pStyle w:val="ListParagraph"/>
              <w:jc w:val="both"/>
              <w:rPr>
                <w:rFonts w:ascii="Book Antiqua" w:eastAsiaTheme="minorEastAsia" w:hAnsi="Book Antiqua" w:cs="Times New Roman"/>
                <w:sz w:val="20"/>
                <w:szCs w:val="20"/>
              </w:rPr>
            </w:pPr>
            <m:oMathPara>
              <m:oMath>
                <m:f>
                  <m:fPr>
                    <m:ctrlPr>
                      <w:rPr>
                        <w:rFonts w:ascii="Cambria Math" w:hAnsi="Cambria Math" w:cs="Times New Roman"/>
                        <w:sz w:val="20"/>
                        <w:szCs w:val="20"/>
                      </w:rPr>
                    </m:ctrlPr>
                  </m:fPr>
                  <m:num>
                    <m:r>
                      <w:rPr>
                        <w:rFonts w:ascii="Cambria Math" w:hAnsi="Cambria Math" w:cs="Times New Roman"/>
                        <w:sz w:val="20"/>
                        <w:szCs w:val="20"/>
                      </w:rPr>
                      <m:t>Sales</m:t>
                    </m:r>
                  </m:num>
                  <m:den>
                    <m:r>
                      <w:rPr>
                        <w:rFonts w:ascii="Cambria Math" w:hAnsi="Cambria Math" w:cs="Times New Roman"/>
                        <w:sz w:val="20"/>
                        <w:szCs w:val="20"/>
                      </w:rPr>
                      <m:t>Total</m:t>
                    </m:r>
                    <m:r>
                      <w:rPr>
                        <w:rFonts w:ascii="Cambria Math" w:hAnsi="Cambria Math" w:cs="Times New Roman"/>
                        <w:sz w:val="20"/>
                        <w:szCs w:val="20"/>
                      </w:rPr>
                      <m:t xml:space="preserve"> </m:t>
                    </m:r>
                    <m:r>
                      <w:rPr>
                        <w:rFonts w:ascii="Cambria Math" w:hAnsi="Cambria Math" w:cs="Times New Roman"/>
                        <w:sz w:val="20"/>
                        <w:szCs w:val="20"/>
                      </w:rPr>
                      <m:t>Assets</m:t>
                    </m:r>
                  </m:den>
                </m:f>
              </m:oMath>
            </m:oMathPara>
          </w:p>
          <w:p w14:paraId="550BBD79" w14:textId="77777777" w:rsidR="00AA4B85" w:rsidRPr="00C72B4E" w:rsidRDefault="00AA4B85" w:rsidP="00DA1A16">
            <w:pPr>
              <w:pStyle w:val="ListParagraph"/>
              <w:jc w:val="both"/>
              <w:rPr>
                <w:rFonts w:ascii="Book Antiqua" w:hAnsi="Book Antiqua" w:cs="Times New Roman"/>
                <w:sz w:val="20"/>
                <w:szCs w:val="20"/>
              </w:rPr>
            </w:pPr>
          </w:p>
          <w:p w14:paraId="1C53EDE6" w14:textId="77777777" w:rsidR="00B70A82" w:rsidRPr="00C72B4E" w:rsidRDefault="00B70A82" w:rsidP="00DA1A16">
            <w:pPr>
              <w:pStyle w:val="ListParagraph"/>
              <w:numPr>
                <w:ilvl w:val="0"/>
                <w:numId w:val="7"/>
              </w:numPr>
              <w:jc w:val="both"/>
              <w:rPr>
                <w:rFonts w:ascii="Book Antiqua" w:hAnsi="Book Antiqua" w:cs="Times New Roman"/>
                <w:sz w:val="20"/>
                <w:szCs w:val="20"/>
              </w:rPr>
            </w:pPr>
            <w:r w:rsidRPr="00C72B4E">
              <w:rPr>
                <w:rFonts w:ascii="Book Antiqua" w:hAnsi="Book Antiqua" w:cs="Times New Roman"/>
                <w:sz w:val="20"/>
                <w:szCs w:val="20"/>
              </w:rPr>
              <w:t>Fixed Asset Turnover Ratio</w:t>
            </w:r>
          </w:p>
          <w:p w14:paraId="62A731A5" w14:textId="6F3DE46E" w:rsidR="00B70A82" w:rsidRPr="00C72B4E" w:rsidRDefault="00C07D9E" w:rsidP="00DA1A16">
            <w:pPr>
              <w:pStyle w:val="ListParagraph"/>
              <w:jc w:val="both"/>
              <w:rPr>
                <w:rFonts w:ascii="Book Antiqua" w:hAnsi="Book Antiqua" w:cs="Times New Roman"/>
                <w:sz w:val="20"/>
                <w:szCs w:val="20"/>
              </w:rPr>
            </w:pPr>
            <m:oMathPara>
              <m:oMath>
                <m:f>
                  <m:fPr>
                    <m:ctrlPr>
                      <w:rPr>
                        <w:rFonts w:ascii="Cambria Math" w:hAnsi="Cambria Math" w:cs="Times New Roman"/>
                        <w:sz w:val="20"/>
                        <w:szCs w:val="20"/>
                      </w:rPr>
                    </m:ctrlPr>
                  </m:fPr>
                  <m:num>
                    <m:r>
                      <w:rPr>
                        <w:rFonts w:ascii="Cambria Math" w:hAnsi="Cambria Math" w:cs="Times New Roman"/>
                        <w:sz w:val="20"/>
                        <w:szCs w:val="20"/>
                      </w:rPr>
                      <m:t>Sales</m:t>
                    </m:r>
                  </m:num>
                  <m:den>
                    <m:r>
                      <w:rPr>
                        <w:rFonts w:ascii="Cambria Math" w:hAnsi="Cambria Math" w:cs="Times New Roman"/>
                        <w:sz w:val="20"/>
                        <w:szCs w:val="20"/>
                      </w:rPr>
                      <m:t>Fixed</m:t>
                    </m:r>
                    <m:r>
                      <w:rPr>
                        <w:rFonts w:ascii="Cambria Math" w:hAnsi="Cambria Math" w:cs="Times New Roman"/>
                        <w:sz w:val="20"/>
                        <w:szCs w:val="20"/>
                      </w:rPr>
                      <m:t xml:space="preserve"> </m:t>
                    </m:r>
                    <m:r>
                      <w:rPr>
                        <w:rFonts w:ascii="Cambria Math" w:hAnsi="Cambria Math" w:cs="Times New Roman"/>
                        <w:sz w:val="20"/>
                        <w:szCs w:val="20"/>
                      </w:rPr>
                      <m:t>Assets</m:t>
                    </m:r>
                  </m:den>
                </m:f>
              </m:oMath>
            </m:oMathPara>
          </w:p>
        </w:tc>
        <w:tc>
          <w:tcPr>
            <w:tcW w:w="992" w:type="dxa"/>
          </w:tcPr>
          <w:p w14:paraId="4328771C" w14:textId="28A37FD0" w:rsidR="007B03F3" w:rsidRPr="00C72B4E" w:rsidRDefault="007B03F3" w:rsidP="00DA1A16">
            <w:pPr>
              <w:jc w:val="both"/>
              <w:rPr>
                <w:rFonts w:ascii="Book Antiqua" w:hAnsi="Book Antiqua" w:cs="Times New Roman"/>
                <w:sz w:val="20"/>
                <w:szCs w:val="20"/>
              </w:rPr>
            </w:pPr>
            <w:r w:rsidRPr="00C72B4E">
              <w:rPr>
                <w:rFonts w:ascii="Book Antiqua" w:hAnsi="Book Antiqua" w:cs="Times New Roman"/>
                <w:sz w:val="20"/>
                <w:szCs w:val="20"/>
              </w:rPr>
              <w:t>Ratio</w:t>
            </w:r>
          </w:p>
        </w:tc>
      </w:tr>
      <w:tr w:rsidR="00052E06" w:rsidRPr="00C72B4E" w14:paraId="12E14F26" w14:textId="77777777" w:rsidTr="00052E06">
        <w:tc>
          <w:tcPr>
            <w:tcW w:w="553" w:type="dxa"/>
          </w:tcPr>
          <w:p w14:paraId="5B2B7552" w14:textId="5A41A0F3" w:rsidR="007B03F3" w:rsidRPr="00C72B4E" w:rsidRDefault="007B03F3" w:rsidP="00DA1A16">
            <w:pPr>
              <w:jc w:val="both"/>
              <w:rPr>
                <w:rFonts w:ascii="Book Antiqua" w:hAnsi="Book Antiqua" w:cs="Times New Roman"/>
                <w:sz w:val="20"/>
                <w:szCs w:val="20"/>
              </w:rPr>
            </w:pPr>
            <w:r w:rsidRPr="00C72B4E">
              <w:rPr>
                <w:rFonts w:ascii="Book Antiqua" w:hAnsi="Book Antiqua" w:cs="Times New Roman"/>
                <w:sz w:val="20"/>
                <w:szCs w:val="20"/>
              </w:rPr>
              <w:t>4</w:t>
            </w:r>
          </w:p>
        </w:tc>
        <w:tc>
          <w:tcPr>
            <w:tcW w:w="1489" w:type="dxa"/>
          </w:tcPr>
          <w:p w14:paraId="17270A3A" w14:textId="77777777" w:rsidR="007B03F3" w:rsidRPr="00C72B4E" w:rsidRDefault="007B03F3" w:rsidP="00DA1A16">
            <w:pPr>
              <w:jc w:val="both"/>
              <w:rPr>
                <w:rFonts w:ascii="Book Antiqua" w:hAnsi="Book Antiqua" w:cs="Times New Roman"/>
                <w:sz w:val="20"/>
                <w:szCs w:val="20"/>
              </w:rPr>
            </w:pPr>
            <w:r w:rsidRPr="00C72B4E">
              <w:rPr>
                <w:rFonts w:ascii="Book Antiqua" w:hAnsi="Book Antiqua" w:cs="Times New Roman"/>
                <w:sz w:val="20"/>
                <w:szCs w:val="20"/>
              </w:rPr>
              <w:t>Profitability Ratio</w:t>
            </w:r>
          </w:p>
          <w:p w14:paraId="2D40BBEF" w14:textId="407F7AB2" w:rsidR="007B03F3" w:rsidRPr="00C72B4E" w:rsidRDefault="007B03F3" w:rsidP="00DA1A16">
            <w:pPr>
              <w:jc w:val="both"/>
              <w:rPr>
                <w:rFonts w:ascii="Book Antiqua" w:hAnsi="Book Antiqua" w:cs="Times New Roman"/>
                <w:sz w:val="20"/>
                <w:szCs w:val="20"/>
              </w:rPr>
            </w:pPr>
            <w:r w:rsidRPr="00C72B4E">
              <w:rPr>
                <w:rFonts w:ascii="Book Antiqua" w:hAnsi="Book Antiqua" w:cs="Times New Roman"/>
                <w:sz w:val="20"/>
                <w:szCs w:val="20"/>
              </w:rPr>
              <w:t>(X3)</w:t>
            </w:r>
          </w:p>
        </w:tc>
        <w:tc>
          <w:tcPr>
            <w:tcW w:w="1613" w:type="dxa"/>
          </w:tcPr>
          <w:p w14:paraId="277694F2" w14:textId="6B530CA2" w:rsidR="007B03F3" w:rsidRPr="00C72B4E" w:rsidRDefault="007B03F3" w:rsidP="00DA1A16">
            <w:pPr>
              <w:jc w:val="both"/>
              <w:rPr>
                <w:rFonts w:ascii="Book Antiqua" w:hAnsi="Book Antiqua" w:cs="Times New Roman"/>
                <w:sz w:val="20"/>
                <w:szCs w:val="20"/>
              </w:rPr>
            </w:pPr>
            <w:r w:rsidRPr="00C72B4E">
              <w:rPr>
                <w:rFonts w:ascii="Book Antiqua" w:hAnsi="Book Antiqua" w:cs="Times New Roman"/>
                <w:sz w:val="20"/>
                <w:szCs w:val="20"/>
              </w:rPr>
              <w:t>Profitability ratio is a ratio used to assess a company’s ability to generate profits.</w:t>
            </w:r>
          </w:p>
        </w:tc>
        <w:tc>
          <w:tcPr>
            <w:tcW w:w="4562" w:type="dxa"/>
          </w:tcPr>
          <w:p w14:paraId="6D94B41B" w14:textId="77777777" w:rsidR="007B03F3" w:rsidRPr="00C72B4E" w:rsidRDefault="00B70A82" w:rsidP="00DA1A16">
            <w:pPr>
              <w:pStyle w:val="ListParagraph"/>
              <w:numPr>
                <w:ilvl w:val="0"/>
                <w:numId w:val="8"/>
              </w:numPr>
              <w:jc w:val="both"/>
              <w:rPr>
                <w:rFonts w:ascii="Book Antiqua" w:hAnsi="Book Antiqua" w:cs="Times New Roman"/>
                <w:sz w:val="20"/>
                <w:szCs w:val="20"/>
              </w:rPr>
            </w:pPr>
            <w:r w:rsidRPr="00C72B4E">
              <w:rPr>
                <w:rFonts w:ascii="Book Antiqua" w:hAnsi="Book Antiqua" w:cs="Times New Roman"/>
                <w:sz w:val="20"/>
                <w:szCs w:val="20"/>
              </w:rPr>
              <w:t>Gross Profit Margin</w:t>
            </w:r>
          </w:p>
          <w:p w14:paraId="3774FBA6" w14:textId="1848FAAF" w:rsidR="00B70A82" w:rsidRPr="00C72B4E" w:rsidRDefault="00C07D9E" w:rsidP="00DA1A16">
            <w:pPr>
              <w:pStyle w:val="ListParagraph"/>
              <w:jc w:val="both"/>
              <w:rPr>
                <w:rFonts w:ascii="Book Antiqua" w:eastAsiaTheme="minorEastAsia" w:hAnsi="Book Antiqua" w:cs="Times New Roman"/>
                <w:sz w:val="20"/>
                <w:szCs w:val="20"/>
              </w:rPr>
            </w:pPr>
            <m:oMath>
              <m:f>
                <m:fPr>
                  <m:ctrlPr>
                    <w:rPr>
                      <w:rFonts w:ascii="Cambria Math" w:hAnsi="Cambria Math" w:cs="Times New Roman"/>
                      <w:sz w:val="20"/>
                      <w:szCs w:val="20"/>
                    </w:rPr>
                  </m:ctrlPr>
                </m:fPr>
                <m:num>
                  <m:r>
                    <w:rPr>
                      <w:rFonts w:ascii="Cambria Math" w:hAnsi="Cambria Math" w:cs="Times New Roman"/>
                      <w:sz w:val="20"/>
                      <w:szCs w:val="20"/>
                    </w:rPr>
                    <m:t>Gross</m:t>
                  </m:r>
                  <m:r>
                    <w:rPr>
                      <w:rFonts w:ascii="Cambria Math" w:hAnsi="Cambria Math" w:cs="Times New Roman"/>
                      <w:sz w:val="20"/>
                      <w:szCs w:val="20"/>
                    </w:rPr>
                    <m:t xml:space="preserve"> </m:t>
                  </m:r>
                  <m:r>
                    <w:rPr>
                      <w:rFonts w:ascii="Cambria Math" w:hAnsi="Cambria Math" w:cs="Times New Roman"/>
                      <w:sz w:val="20"/>
                      <w:szCs w:val="20"/>
                    </w:rPr>
                    <m:t>Profit</m:t>
                  </m:r>
                </m:num>
                <m:den>
                  <m:r>
                    <w:rPr>
                      <w:rFonts w:ascii="Cambria Math" w:hAnsi="Cambria Math" w:cs="Times New Roman"/>
                      <w:sz w:val="20"/>
                      <w:szCs w:val="20"/>
                    </w:rPr>
                    <m:t>Sales</m:t>
                  </m:r>
                </m:den>
              </m:f>
            </m:oMath>
            <w:r w:rsidR="00B70A82" w:rsidRPr="00C72B4E">
              <w:rPr>
                <w:rFonts w:ascii="Book Antiqua" w:eastAsiaTheme="minorEastAsia" w:hAnsi="Book Antiqua" w:cs="Times New Roman"/>
                <w:sz w:val="20"/>
                <w:szCs w:val="20"/>
              </w:rPr>
              <w:t xml:space="preserve"> x 100%</w:t>
            </w:r>
          </w:p>
          <w:p w14:paraId="765D1832" w14:textId="77777777" w:rsidR="00AA4B85" w:rsidRPr="00C72B4E" w:rsidRDefault="00AA4B85" w:rsidP="00DA1A16">
            <w:pPr>
              <w:pStyle w:val="ListParagraph"/>
              <w:jc w:val="both"/>
              <w:rPr>
                <w:rFonts w:ascii="Book Antiqua" w:hAnsi="Book Antiqua" w:cs="Times New Roman"/>
                <w:sz w:val="20"/>
                <w:szCs w:val="20"/>
              </w:rPr>
            </w:pPr>
          </w:p>
          <w:p w14:paraId="4BAA2AA5" w14:textId="77777777" w:rsidR="00B70A82" w:rsidRPr="00C72B4E" w:rsidRDefault="00B70A82" w:rsidP="00DA1A16">
            <w:pPr>
              <w:pStyle w:val="ListParagraph"/>
              <w:numPr>
                <w:ilvl w:val="0"/>
                <w:numId w:val="8"/>
              </w:numPr>
              <w:jc w:val="both"/>
              <w:rPr>
                <w:rFonts w:ascii="Book Antiqua" w:hAnsi="Book Antiqua" w:cs="Times New Roman"/>
                <w:sz w:val="20"/>
                <w:szCs w:val="20"/>
              </w:rPr>
            </w:pPr>
            <w:r w:rsidRPr="00C72B4E">
              <w:rPr>
                <w:rFonts w:ascii="Book Antiqua" w:hAnsi="Book Antiqua" w:cs="Times New Roman"/>
                <w:sz w:val="20"/>
                <w:szCs w:val="20"/>
              </w:rPr>
              <w:t>Net Profit Margin</w:t>
            </w:r>
          </w:p>
          <w:p w14:paraId="116939A5" w14:textId="3082F8E3" w:rsidR="00B70A82" w:rsidRPr="00C72B4E" w:rsidRDefault="00C07D9E" w:rsidP="00DA1A16">
            <w:pPr>
              <w:pStyle w:val="ListParagraph"/>
              <w:jc w:val="both"/>
              <w:rPr>
                <w:rFonts w:ascii="Book Antiqua" w:eastAsiaTheme="minorEastAsia" w:hAnsi="Book Antiqua" w:cs="Times New Roman"/>
                <w:sz w:val="20"/>
                <w:szCs w:val="20"/>
              </w:rPr>
            </w:pPr>
            <m:oMath>
              <m:f>
                <m:fPr>
                  <m:ctrlPr>
                    <w:rPr>
                      <w:rFonts w:ascii="Cambria Math" w:hAnsi="Cambria Math" w:cs="Times New Roman"/>
                      <w:sz w:val="20"/>
                      <w:szCs w:val="20"/>
                    </w:rPr>
                  </m:ctrlPr>
                </m:fPr>
                <m:num>
                  <m:r>
                    <w:rPr>
                      <w:rFonts w:ascii="Cambria Math" w:hAnsi="Cambria Math" w:cs="Times New Roman"/>
                      <w:sz w:val="20"/>
                      <w:szCs w:val="20"/>
                    </w:rPr>
                    <m:t>Net</m:t>
                  </m:r>
                  <m:r>
                    <w:rPr>
                      <w:rFonts w:ascii="Cambria Math" w:hAnsi="Cambria Math" w:cs="Times New Roman"/>
                      <w:sz w:val="20"/>
                      <w:szCs w:val="20"/>
                    </w:rPr>
                    <m:t xml:space="preserve"> </m:t>
                  </m:r>
                  <m:r>
                    <w:rPr>
                      <w:rFonts w:ascii="Cambria Math" w:hAnsi="Cambria Math" w:cs="Times New Roman"/>
                      <w:sz w:val="20"/>
                      <w:szCs w:val="20"/>
                    </w:rPr>
                    <m:t>Profit</m:t>
                  </m:r>
                </m:num>
                <m:den>
                  <m:r>
                    <w:rPr>
                      <w:rFonts w:ascii="Cambria Math" w:hAnsi="Cambria Math" w:cs="Times New Roman"/>
                      <w:sz w:val="20"/>
                      <w:szCs w:val="20"/>
                    </w:rPr>
                    <m:t>Revenue</m:t>
                  </m:r>
                </m:den>
              </m:f>
            </m:oMath>
            <w:r w:rsidR="00B70A82" w:rsidRPr="00C72B4E">
              <w:rPr>
                <w:rFonts w:ascii="Book Antiqua" w:eastAsiaTheme="minorEastAsia" w:hAnsi="Book Antiqua" w:cs="Times New Roman"/>
                <w:sz w:val="20"/>
                <w:szCs w:val="20"/>
              </w:rPr>
              <w:t xml:space="preserve"> x 100%</w:t>
            </w:r>
          </w:p>
          <w:p w14:paraId="0E586297" w14:textId="77777777" w:rsidR="00AA4B85" w:rsidRPr="00C72B4E" w:rsidRDefault="00AA4B85" w:rsidP="00DA1A16">
            <w:pPr>
              <w:pStyle w:val="ListParagraph"/>
              <w:jc w:val="both"/>
              <w:rPr>
                <w:rFonts w:ascii="Book Antiqua" w:hAnsi="Book Antiqua" w:cs="Times New Roman"/>
                <w:sz w:val="20"/>
                <w:szCs w:val="20"/>
              </w:rPr>
            </w:pPr>
          </w:p>
          <w:p w14:paraId="376F82AC" w14:textId="2B92EDB0" w:rsidR="00B70A82" w:rsidRPr="00C72B4E" w:rsidRDefault="00B70A82" w:rsidP="00DA1A16">
            <w:pPr>
              <w:pStyle w:val="ListParagraph"/>
              <w:numPr>
                <w:ilvl w:val="0"/>
                <w:numId w:val="8"/>
              </w:numPr>
              <w:jc w:val="both"/>
              <w:rPr>
                <w:rFonts w:ascii="Book Antiqua" w:hAnsi="Book Antiqua" w:cs="Times New Roman"/>
                <w:sz w:val="20"/>
                <w:szCs w:val="20"/>
              </w:rPr>
            </w:pPr>
            <w:r w:rsidRPr="00C72B4E">
              <w:rPr>
                <w:rFonts w:ascii="Book Antiqua" w:hAnsi="Book Antiqua" w:cs="Times New Roman"/>
                <w:sz w:val="20"/>
                <w:szCs w:val="20"/>
              </w:rPr>
              <w:t>Return On Asset</w:t>
            </w:r>
            <w:r w:rsidR="00AA4B85" w:rsidRPr="00C72B4E">
              <w:rPr>
                <w:rFonts w:ascii="Book Antiqua" w:hAnsi="Book Antiqua" w:cs="Times New Roman"/>
                <w:sz w:val="20"/>
                <w:szCs w:val="20"/>
              </w:rPr>
              <w:t>s</w:t>
            </w:r>
          </w:p>
          <w:p w14:paraId="49AF6782" w14:textId="29984F7C" w:rsidR="00B70A82" w:rsidRPr="00C72B4E" w:rsidRDefault="00C07D9E" w:rsidP="00DA1A16">
            <w:pPr>
              <w:pStyle w:val="ListParagraph"/>
              <w:jc w:val="both"/>
              <w:rPr>
                <w:rFonts w:ascii="Book Antiqua" w:eastAsiaTheme="minorEastAsia" w:hAnsi="Book Antiqua" w:cs="Times New Roman"/>
                <w:sz w:val="20"/>
                <w:szCs w:val="20"/>
              </w:rPr>
            </w:pPr>
            <m:oMath>
              <m:f>
                <m:fPr>
                  <m:ctrlPr>
                    <w:rPr>
                      <w:rFonts w:ascii="Cambria Math" w:hAnsi="Cambria Math" w:cs="Times New Roman"/>
                      <w:sz w:val="20"/>
                      <w:szCs w:val="20"/>
                    </w:rPr>
                  </m:ctrlPr>
                </m:fPr>
                <m:num>
                  <m:r>
                    <w:rPr>
                      <w:rFonts w:ascii="Cambria Math" w:hAnsi="Cambria Math" w:cs="Times New Roman"/>
                      <w:sz w:val="20"/>
                      <w:szCs w:val="20"/>
                    </w:rPr>
                    <m:t>Net</m:t>
                  </m:r>
                  <m:r>
                    <w:rPr>
                      <w:rFonts w:ascii="Cambria Math" w:hAnsi="Cambria Math" w:cs="Times New Roman"/>
                      <w:sz w:val="20"/>
                      <w:szCs w:val="20"/>
                    </w:rPr>
                    <m:t xml:space="preserve"> </m:t>
                  </m:r>
                  <m:r>
                    <w:rPr>
                      <w:rFonts w:ascii="Cambria Math" w:hAnsi="Cambria Math" w:cs="Times New Roman"/>
                      <w:sz w:val="20"/>
                      <w:szCs w:val="20"/>
                    </w:rPr>
                    <m:t>Profit</m:t>
                  </m:r>
                </m:num>
                <m:den>
                  <m:r>
                    <w:rPr>
                      <w:rFonts w:ascii="Cambria Math" w:hAnsi="Cambria Math" w:cs="Times New Roman"/>
                      <w:sz w:val="20"/>
                      <w:szCs w:val="20"/>
                    </w:rPr>
                    <m:t>Total</m:t>
                  </m:r>
                  <m:r>
                    <w:rPr>
                      <w:rFonts w:ascii="Cambria Math" w:hAnsi="Cambria Math" w:cs="Times New Roman"/>
                      <w:sz w:val="20"/>
                      <w:szCs w:val="20"/>
                    </w:rPr>
                    <m:t xml:space="preserve"> </m:t>
                  </m:r>
                  <m:r>
                    <w:rPr>
                      <w:rFonts w:ascii="Cambria Math" w:hAnsi="Cambria Math" w:cs="Times New Roman"/>
                      <w:sz w:val="20"/>
                      <w:szCs w:val="20"/>
                    </w:rPr>
                    <m:t>assets</m:t>
                  </m:r>
                </m:den>
              </m:f>
            </m:oMath>
            <w:r w:rsidR="00B70A82" w:rsidRPr="00C72B4E">
              <w:rPr>
                <w:rFonts w:ascii="Book Antiqua" w:eastAsiaTheme="minorEastAsia" w:hAnsi="Book Antiqua" w:cs="Times New Roman"/>
                <w:sz w:val="20"/>
                <w:szCs w:val="20"/>
              </w:rPr>
              <w:t xml:space="preserve"> x 100%</w:t>
            </w:r>
          </w:p>
          <w:p w14:paraId="58E67060" w14:textId="77777777" w:rsidR="00AA4B85" w:rsidRPr="00C72B4E" w:rsidRDefault="00AA4B85" w:rsidP="00DA1A16">
            <w:pPr>
              <w:pStyle w:val="ListParagraph"/>
              <w:jc w:val="both"/>
              <w:rPr>
                <w:rFonts w:ascii="Book Antiqua" w:hAnsi="Book Antiqua" w:cs="Times New Roman"/>
                <w:sz w:val="20"/>
                <w:szCs w:val="20"/>
              </w:rPr>
            </w:pPr>
          </w:p>
          <w:p w14:paraId="5F97DBBB" w14:textId="77777777" w:rsidR="00B70A82" w:rsidRPr="00C72B4E" w:rsidRDefault="00B70A82" w:rsidP="00DA1A16">
            <w:pPr>
              <w:pStyle w:val="ListParagraph"/>
              <w:numPr>
                <w:ilvl w:val="0"/>
                <w:numId w:val="8"/>
              </w:numPr>
              <w:jc w:val="both"/>
              <w:rPr>
                <w:rFonts w:ascii="Book Antiqua" w:hAnsi="Book Antiqua" w:cs="Times New Roman"/>
                <w:sz w:val="20"/>
                <w:szCs w:val="20"/>
              </w:rPr>
            </w:pPr>
            <w:r w:rsidRPr="00C72B4E">
              <w:rPr>
                <w:rFonts w:ascii="Book Antiqua" w:hAnsi="Book Antiqua" w:cs="Times New Roman"/>
                <w:sz w:val="20"/>
                <w:szCs w:val="20"/>
              </w:rPr>
              <w:t>Return On Equity</w:t>
            </w:r>
          </w:p>
          <w:p w14:paraId="7DEBEAA1" w14:textId="7B94FBDF" w:rsidR="00B70A82" w:rsidRPr="00C72B4E" w:rsidRDefault="00C07D9E" w:rsidP="00DA1A16">
            <w:pPr>
              <w:pStyle w:val="ListParagraph"/>
              <w:jc w:val="both"/>
              <w:rPr>
                <w:rFonts w:ascii="Book Antiqua" w:eastAsiaTheme="minorEastAsia" w:hAnsi="Book Antiqua" w:cs="Times New Roman"/>
                <w:sz w:val="20"/>
                <w:szCs w:val="20"/>
              </w:rPr>
            </w:pPr>
            <m:oMath>
              <m:f>
                <m:fPr>
                  <m:ctrlPr>
                    <w:rPr>
                      <w:rFonts w:ascii="Cambria Math" w:hAnsi="Cambria Math" w:cs="Times New Roman"/>
                      <w:sz w:val="20"/>
                      <w:szCs w:val="20"/>
                    </w:rPr>
                  </m:ctrlPr>
                </m:fPr>
                <m:num>
                  <m:r>
                    <w:rPr>
                      <w:rFonts w:ascii="Cambria Math" w:hAnsi="Cambria Math" w:cs="Times New Roman"/>
                      <w:sz w:val="20"/>
                      <w:szCs w:val="20"/>
                    </w:rPr>
                    <m:t>Net</m:t>
                  </m:r>
                  <m:r>
                    <w:rPr>
                      <w:rFonts w:ascii="Cambria Math" w:hAnsi="Cambria Math" w:cs="Times New Roman"/>
                      <w:sz w:val="20"/>
                      <w:szCs w:val="20"/>
                    </w:rPr>
                    <m:t xml:space="preserve"> </m:t>
                  </m:r>
                  <m:r>
                    <w:rPr>
                      <w:rFonts w:ascii="Cambria Math" w:hAnsi="Cambria Math" w:cs="Times New Roman"/>
                      <w:sz w:val="20"/>
                      <w:szCs w:val="20"/>
                    </w:rPr>
                    <m:t>Profit</m:t>
                  </m:r>
                </m:num>
                <m:den>
                  <m:r>
                    <w:rPr>
                      <w:rFonts w:ascii="Cambria Math" w:hAnsi="Cambria Math" w:cs="Times New Roman"/>
                      <w:sz w:val="20"/>
                      <w:szCs w:val="20"/>
                    </w:rPr>
                    <m:t>Equity</m:t>
                  </m:r>
                </m:den>
              </m:f>
            </m:oMath>
            <w:r w:rsidR="00B70A82" w:rsidRPr="00C72B4E">
              <w:rPr>
                <w:rFonts w:ascii="Book Antiqua" w:eastAsiaTheme="minorEastAsia" w:hAnsi="Book Antiqua" w:cs="Times New Roman"/>
                <w:sz w:val="20"/>
                <w:szCs w:val="20"/>
              </w:rPr>
              <w:t xml:space="preserve"> x 100%</w:t>
            </w:r>
          </w:p>
          <w:p w14:paraId="0B3CC895" w14:textId="5CB9C600" w:rsidR="00AA4B85" w:rsidRPr="00C72B4E" w:rsidRDefault="00AA4B85" w:rsidP="00DA1A16">
            <w:pPr>
              <w:pStyle w:val="ListParagraph"/>
              <w:jc w:val="both"/>
              <w:rPr>
                <w:rFonts w:ascii="Book Antiqua" w:hAnsi="Book Antiqua" w:cs="Times New Roman"/>
                <w:sz w:val="20"/>
                <w:szCs w:val="20"/>
              </w:rPr>
            </w:pPr>
          </w:p>
        </w:tc>
        <w:tc>
          <w:tcPr>
            <w:tcW w:w="992" w:type="dxa"/>
          </w:tcPr>
          <w:p w14:paraId="35E7A63D" w14:textId="43447DE2" w:rsidR="007B03F3" w:rsidRPr="00C72B4E" w:rsidRDefault="007B03F3" w:rsidP="00DA1A16">
            <w:pPr>
              <w:jc w:val="both"/>
              <w:rPr>
                <w:rFonts w:ascii="Book Antiqua" w:hAnsi="Book Antiqua" w:cs="Times New Roman"/>
                <w:sz w:val="20"/>
                <w:szCs w:val="20"/>
              </w:rPr>
            </w:pPr>
            <w:r w:rsidRPr="00C72B4E">
              <w:rPr>
                <w:rFonts w:ascii="Book Antiqua" w:hAnsi="Book Antiqua" w:cs="Times New Roman"/>
                <w:sz w:val="20"/>
                <w:szCs w:val="20"/>
              </w:rPr>
              <w:t>Ratio</w:t>
            </w:r>
          </w:p>
        </w:tc>
      </w:tr>
    </w:tbl>
    <w:p w14:paraId="4E4B662D" w14:textId="4C1AA445" w:rsidR="00F27002" w:rsidRPr="00561D13" w:rsidRDefault="00F27002" w:rsidP="00DA1A16">
      <w:pPr>
        <w:spacing w:line="240" w:lineRule="auto"/>
        <w:jc w:val="both"/>
        <w:rPr>
          <w:rFonts w:ascii="Book Antiqua" w:hAnsi="Book Antiqua" w:cs="Times New Roman"/>
        </w:rPr>
      </w:pPr>
    </w:p>
    <w:p w14:paraId="7EB41E03" w14:textId="77777777" w:rsidR="00052E06" w:rsidRDefault="00052E06" w:rsidP="00052E06">
      <w:pPr>
        <w:spacing w:line="240" w:lineRule="auto"/>
        <w:ind w:firstLine="360"/>
        <w:jc w:val="both"/>
        <w:rPr>
          <w:rFonts w:ascii="Book Antiqua" w:hAnsi="Book Antiqua" w:cs="Times New Roman"/>
        </w:rPr>
      </w:pPr>
      <w:r w:rsidRPr="00052E06">
        <w:rPr>
          <w:rFonts w:ascii="Book Antiqua" w:hAnsi="Book Antiqua" w:cs="Times New Roman"/>
        </w:rPr>
        <w:t>Each ratio is calculated for each year from 2015 to 2024, then compared horizontally (between periods) to see trends and patterns of changes in the company's financial performance over time. The analysis is conducted descriptively and comparatively, namely by comparing the results of calculations between periods and interpreting them qualitatively to determine whether the company's financial performance shows an increase or decrease (</w:t>
      </w:r>
      <w:proofErr w:type="spellStart"/>
      <w:r w:rsidRPr="00052E06">
        <w:rPr>
          <w:rFonts w:ascii="Book Antiqua" w:hAnsi="Book Antiqua" w:cs="Times New Roman"/>
        </w:rPr>
        <w:t>Kasmir</w:t>
      </w:r>
      <w:proofErr w:type="spellEnd"/>
      <w:r w:rsidRPr="00052E06">
        <w:rPr>
          <w:rFonts w:ascii="Book Antiqua" w:hAnsi="Book Antiqua" w:cs="Times New Roman"/>
        </w:rPr>
        <w:t xml:space="preserve">, 2018; </w:t>
      </w:r>
      <w:proofErr w:type="spellStart"/>
      <w:r w:rsidRPr="00052E06">
        <w:rPr>
          <w:rFonts w:ascii="Book Antiqua" w:hAnsi="Book Antiqua" w:cs="Times New Roman"/>
        </w:rPr>
        <w:t>Sugiyono</w:t>
      </w:r>
      <w:proofErr w:type="spellEnd"/>
      <w:r w:rsidRPr="00052E06">
        <w:rPr>
          <w:rFonts w:ascii="Book Antiqua" w:hAnsi="Book Antiqua" w:cs="Times New Roman"/>
        </w:rPr>
        <w:t>, 2019).</w:t>
      </w:r>
    </w:p>
    <w:p w14:paraId="66B5C2FA" w14:textId="77777777" w:rsidR="00485B26" w:rsidRDefault="00CB3187" w:rsidP="00485B26">
      <w:pPr>
        <w:spacing w:line="240" w:lineRule="auto"/>
        <w:jc w:val="both"/>
        <w:rPr>
          <w:rFonts w:ascii="Book Antiqua" w:hAnsi="Book Antiqua" w:cs="Times New Roman"/>
          <w:b/>
          <w:bCs/>
        </w:rPr>
      </w:pPr>
      <w:r w:rsidRPr="00561D13">
        <w:rPr>
          <w:rFonts w:ascii="Book Antiqua" w:hAnsi="Book Antiqua" w:cs="Times New Roman"/>
          <w:b/>
          <w:bCs/>
        </w:rPr>
        <w:t>Results</w:t>
      </w:r>
    </w:p>
    <w:p w14:paraId="2487E2B0" w14:textId="77777777" w:rsidR="00485B26" w:rsidRDefault="00485B26" w:rsidP="00C72B4E">
      <w:pPr>
        <w:pStyle w:val="ListParagraph"/>
        <w:numPr>
          <w:ilvl w:val="0"/>
          <w:numId w:val="15"/>
        </w:numPr>
        <w:spacing w:line="240" w:lineRule="auto"/>
        <w:ind w:left="284" w:hanging="284"/>
        <w:jc w:val="both"/>
        <w:rPr>
          <w:rFonts w:ascii="Book Antiqua" w:hAnsi="Book Antiqua" w:cs="Times New Roman"/>
          <w:b/>
          <w:bCs/>
        </w:rPr>
      </w:pPr>
      <w:r w:rsidRPr="00485B26">
        <w:rPr>
          <w:rFonts w:ascii="Book Antiqua" w:hAnsi="Book Antiqua" w:cs="Times New Roman"/>
          <w:b/>
          <w:bCs/>
        </w:rPr>
        <w:t>Liquidity Ratio</w:t>
      </w:r>
    </w:p>
    <w:p w14:paraId="6C703991" w14:textId="27F14E57" w:rsidR="000D45AE" w:rsidRPr="00485B26" w:rsidRDefault="000D45AE" w:rsidP="00485B26">
      <w:pPr>
        <w:pStyle w:val="ListParagraph"/>
        <w:numPr>
          <w:ilvl w:val="0"/>
          <w:numId w:val="16"/>
        </w:numPr>
        <w:spacing w:line="240" w:lineRule="auto"/>
        <w:jc w:val="both"/>
        <w:rPr>
          <w:rFonts w:ascii="Book Antiqua" w:hAnsi="Book Antiqua" w:cs="Times New Roman"/>
          <w:b/>
          <w:bCs/>
        </w:rPr>
      </w:pPr>
      <w:r w:rsidRPr="00485B26">
        <w:rPr>
          <w:rFonts w:ascii="Book Antiqua" w:hAnsi="Book Antiqua" w:cs="Times New Roman"/>
          <w:b/>
          <w:bCs/>
        </w:rPr>
        <w:t>Current Ratio</w:t>
      </w:r>
    </w:p>
    <w:p w14:paraId="7B1C8490" w14:textId="5CA1EC84" w:rsidR="00C01DA5" w:rsidRPr="00C72B4E" w:rsidRDefault="00AA4B85" w:rsidP="00C72B4E">
      <w:pPr>
        <w:spacing w:line="240" w:lineRule="auto"/>
        <w:jc w:val="center"/>
        <w:rPr>
          <w:rFonts w:ascii="Book Antiqua" w:hAnsi="Book Antiqua" w:cs="Times New Roman"/>
          <w:b/>
          <w:bCs/>
        </w:rPr>
      </w:pPr>
      <w:r w:rsidRPr="00C72B4E">
        <w:rPr>
          <w:rFonts w:ascii="Book Antiqua" w:hAnsi="Book Antiqua" w:cs="Times New Roman"/>
          <w:b/>
          <w:bCs/>
        </w:rPr>
        <w:t>Table 4.1</w:t>
      </w:r>
      <w:r w:rsidR="00C72B4E">
        <w:rPr>
          <w:rFonts w:ascii="Book Antiqua" w:hAnsi="Book Antiqua" w:cs="Times New Roman"/>
          <w:b/>
          <w:bCs/>
        </w:rPr>
        <w:t xml:space="preserve"> </w:t>
      </w:r>
      <w:r w:rsidRPr="00C72B4E">
        <w:rPr>
          <w:rFonts w:ascii="Book Antiqua" w:hAnsi="Book Antiqua" w:cs="Times New Roman"/>
          <w:b/>
          <w:bCs/>
        </w:rPr>
        <w:t>Current Ratio Calculation Results for the 2015-2024 Period</w:t>
      </w:r>
      <w:r w:rsidR="00C72B4E">
        <w:rPr>
          <w:rFonts w:ascii="Book Antiqua" w:hAnsi="Book Antiqua" w:cs="Times New Roman"/>
          <w:b/>
          <w:bCs/>
        </w:rPr>
        <w:t xml:space="preserve"> </w:t>
      </w:r>
      <w:r w:rsidRPr="00C72B4E">
        <w:rPr>
          <w:rFonts w:ascii="Book Antiqua" w:hAnsi="Book Antiqua" w:cs="Times New Roman"/>
          <w:b/>
          <w:bCs/>
        </w:rPr>
        <w:t>(In Millions of Rupiah)</w:t>
      </w:r>
    </w:p>
    <w:p w14:paraId="47CE4C53" w14:textId="33D5AE00" w:rsidR="00C01DA5" w:rsidRDefault="00C01DA5" w:rsidP="00C72B4E">
      <w:pPr>
        <w:pStyle w:val="ListParagraph"/>
        <w:spacing w:line="240" w:lineRule="auto"/>
        <w:ind w:left="0"/>
        <w:jc w:val="center"/>
        <w:rPr>
          <w:rFonts w:ascii="Book Antiqua" w:hAnsi="Book Antiqua" w:cs="Times New Roman"/>
          <w:b/>
          <w:bCs/>
          <w:noProof/>
        </w:rPr>
      </w:pPr>
      <w:r w:rsidRPr="00C01DA5">
        <w:rPr>
          <w:noProof/>
        </w:rPr>
        <w:drawing>
          <wp:inline distT="0" distB="0" distL="0" distR="0" wp14:anchorId="76F3D54E" wp14:editId="1EDEEF5A">
            <wp:extent cx="3619500" cy="1614763"/>
            <wp:effectExtent l="0" t="0" r="0" b="5080"/>
            <wp:docPr id="38814769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62577" cy="1633981"/>
                    </a:xfrm>
                    <a:prstGeom prst="rect">
                      <a:avLst/>
                    </a:prstGeom>
                    <a:noFill/>
                    <a:ln>
                      <a:noFill/>
                    </a:ln>
                  </pic:spPr>
                </pic:pic>
              </a:graphicData>
            </a:graphic>
          </wp:inline>
        </w:drawing>
      </w:r>
    </w:p>
    <w:p w14:paraId="01E60AEF" w14:textId="23F1DB1A" w:rsidR="000D45AE" w:rsidRPr="00561D13" w:rsidRDefault="00485B26" w:rsidP="00485B26">
      <w:pPr>
        <w:pStyle w:val="ListParagraph"/>
        <w:spacing w:line="240" w:lineRule="auto"/>
        <w:ind w:left="1080"/>
        <w:rPr>
          <w:rFonts w:ascii="Book Antiqua" w:hAnsi="Book Antiqua" w:cs="Times New Roman"/>
        </w:rPr>
      </w:pPr>
      <w:r w:rsidRPr="00485B26">
        <w:rPr>
          <w:rFonts w:ascii="Book Antiqua" w:hAnsi="Book Antiqua" w:cs="Times New Roman"/>
        </w:rPr>
        <w:t>Source: Processed Data</w:t>
      </w:r>
    </w:p>
    <w:p w14:paraId="40DF5700" w14:textId="77777777" w:rsidR="00485B26" w:rsidRPr="00561D13" w:rsidRDefault="00485B26" w:rsidP="00DA1A16">
      <w:pPr>
        <w:pStyle w:val="ListParagraph"/>
        <w:spacing w:line="240" w:lineRule="auto"/>
        <w:ind w:left="1080"/>
        <w:jc w:val="center"/>
        <w:rPr>
          <w:rFonts w:ascii="Book Antiqua" w:hAnsi="Book Antiqua" w:cs="Times New Roman"/>
          <w:b/>
          <w:bCs/>
        </w:rPr>
      </w:pPr>
    </w:p>
    <w:p w14:paraId="0F42CD1A" w14:textId="77777777" w:rsidR="00C72B4E" w:rsidRDefault="00485B26" w:rsidP="00C72B4E">
      <w:pPr>
        <w:pStyle w:val="ListParagraph"/>
        <w:spacing w:line="240" w:lineRule="auto"/>
        <w:ind w:left="0" w:firstLine="567"/>
        <w:jc w:val="both"/>
        <w:rPr>
          <w:rFonts w:ascii="Book Antiqua" w:hAnsi="Book Antiqua" w:cs="Times New Roman"/>
        </w:rPr>
      </w:pPr>
      <w:r w:rsidRPr="00485B26">
        <w:rPr>
          <w:rFonts w:ascii="Book Antiqua" w:hAnsi="Book Antiqua" w:cs="Times New Roman"/>
        </w:rPr>
        <w:lastRenderedPageBreak/>
        <w:t xml:space="preserve">Based on the calculations in Table 4.1, it is known that the Current Ratio (CR) of PT </w:t>
      </w:r>
      <w:proofErr w:type="spellStart"/>
      <w:r w:rsidRPr="00485B26">
        <w:rPr>
          <w:rFonts w:ascii="Book Antiqua" w:hAnsi="Book Antiqua" w:cs="Times New Roman"/>
        </w:rPr>
        <w:t>Solusi</w:t>
      </w:r>
      <w:proofErr w:type="spellEnd"/>
      <w:r w:rsidRPr="00485B26">
        <w:rPr>
          <w:rFonts w:ascii="Book Antiqua" w:hAnsi="Book Antiqua" w:cs="Times New Roman"/>
        </w:rPr>
        <w:t xml:space="preserve"> Tunas </w:t>
      </w:r>
      <w:proofErr w:type="spellStart"/>
      <w:r w:rsidRPr="00485B26">
        <w:rPr>
          <w:rFonts w:ascii="Book Antiqua" w:hAnsi="Book Antiqua" w:cs="Times New Roman"/>
        </w:rPr>
        <w:t>Pratama</w:t>
      </w:r>
      <w:proofErr w:type="spellEnd"/>
      <w:r w:rsidRPr="00485B26">
        <w:rPr>
          <w:rFonts w:ascii="Book Antiqua" w:hAnsi="Book Antiqua" w:cs="Times New Roman"/>
        </w:rPr>
        <w:t xml:space="preserve"> </w:t>
      </w:r>
      <w:proofErr w:type="spellStart"/>
      <w:r w:rsidRPr="00485B26">
        <w:rPr>
          <w:rFonts w:ascii="Book Antiqua" w:hAnsi="Book Antiqua" w:cs="Times New Roman"/>
        </w:rPr>
        <w:t>Tbk</w:t>
      </w:r>
      <w:proofErr w:type="spellEnd"/>
      <w:r w:rsidRPr="00485B26">
        <w:rPr>
          <w:rFonts w:ascii="Book Antiqua" w:hAnsi="Book Antiqua" w:cs="Times New Roman"/>
        </w:rPr>
        <w:t xml:space="preserve"> during the 2015–2024 period experienced significant fluctuations with an upward trend at the end of the period. The highest CR value occurred in 2015 at 218.48 times, while the lowest value was recorded in 2018 at 23.48 times. In the following years, this ratio showed improvement, reaching 29.33 times in 2024. This increase indicates that the company is gradually improving its ability to meet short-term obligations with its current assets.</w:t>
      </w:r>
    </w:p>
    <w:p w14:paraId="54984F17" w14:textId="77777777" w:rsidR="00C72B4E" w:rsidRDefault="00485B26" w:rsidP="00C72B4E">
      <w:pPr>
        <w:pStyle w:val="ListParagraph"/>
        <w:spacing w:line="240" w:lineRule="auto"/>
        <w:ind w:left="0" w:firstLine="567"/>
        <w:jc w:val="both"/>
        <w:rPr>
          <w:rFonts w:ascii="Book Antiqua" w:hAnsi="Book Antiqua" w:cs="Times New Roman"/>
        </w:rPr>
      </w:pPr>
      <w:r w:rsidRPr="00C72B4E">
        <w:rPr>
          <w:rFonts w:ascii="Book Antiqua" w:hAnsi="Book Antiqua" w:cs="Times New Roman"/>
        </w:rPr>
        <w:t xml:space="preserve">According to Kasmir (2018), a high Current Ratio indicates a company's liquidity in meeting short-term debt, but an excessively high value may also indicate an excess of idle funds that are not being used productively. In the context of PT </w:t>
      </w:r>
      <w:proofErr w:type="spellStart"/>
      <w:r w:rsidRPr="00C72B4E">
        <w:rPr>
          <w:rFonts w:ascii="Book Antiqua" w:hAnsi="Book Antiqua" w:cs="Times New Roman"/>
        </w:rPr>
        <w:t>Solusi</w:t>
      </w:r>
      <w:proofErr w:type="spellEnd"/>
      <w:r w:rsidRPr="00C72B4E">
        <w:rPr>
          <w:rFonts w:ascii="Book Antiqua" w:hAnsi="Book Antiqua" w:cs="Times New Roman"/>
        </w:rPr>
        <w:t xml:space="preserve"> Tunas </w:t>
      </w:r>
      <w:proofErr w:type="spellStart"/>
      <w:r w:rsidRPr="00C72B4E">
        <w:rPr>
          <w:rFonts w:ascii="Book Antiqua" w:hAnsi="Book Antiqua" w:cs="Times New Roman"/>
        </w:rPr>
        <w:t>Pratama</w:t>
      </w:r>
      <w:proofErr w:type="spellEnd"/>
      <w:r w:rsidRPr="00C72B4E">
        <w:rPr>
          <w:rFonts w:ascii="Book Antiqua" w:hAnsi="Book Antiqua" w:cs="Times New Roman"/>
        </w:rPr>
        <w:t xml:space="preserve"> </w:t>
      </w:r>
      <w:proofErr w:type="spellStart"/>
      <w:r w:rsidRPr="00C72B4E">
        <w:rPr>
          <w:rFonts w:ascii="Book Antiqua" w:hAnsi="Book Antiqua" w:cs="Times New Roman"/>
        </w:rPr>
        <w:t>Tbk</w:t>
      </w:r>
      <w:proofErr w:type="spellEnd"/>
      <w:r w:rsidRPr="00C72B4E">
        <w:rPr>
          <w:rFonts w:ascii="Book Antiqua" w:hAnsi="Book Antiqua" w:cs="Times New Roman"/>
        </w:rPr>
        <w:t>, the fluctuations that occurred were most likely caused by shifts in cash and accounts receivable management policies in line with changes in the scale of long-term telecommunications infrastructure investments. Therefore, the increase in CR at the end of the research period reflects improved efficiency in current asset management, although this needs to be balanced with a working capital optimization strategy so that funds are not tied up in large amounts.</w:t>
      </w:r>
    </w:p>
    <w:p w14:paraId="1109ECC1" w14:textId="39FDB1BC" w:rsidR="00394191" w:rsidRPr="00C72B4E" w:rsidRDefault="00485B26" w:rsidP="00C72B4E">
      <w:pPr>
        <w:pStyle w:val="ListParagraph"/>
        <w:spacing w:line="240" w:lineRule="auto"/>
        <w:ind w:left="0" w:firstLine="567"/>
        <w:jc w:val="both"/>
        <w:rPr>
          <w:rFonts w:ascii="Book Antiqua" w:hAnsi="Book Antiqua" w:cs="Times New Roman"/>
        </w:rPr>
      </w:pPr>
      <w:r w:rsidRPr="00C72B4E">
        <w:rPr>
          <w:rFonts w:ascii="Book Antiqua" w:hAnsi="Book Antiqua" w:cs="Times New Roman"/>
        </w:rPr>
        <w:t xml:space="preserve">Overall, PT </w:t>
      </w:r>
      <w:proofErr w:type="spellStart"/>
      <w:r w:rsidRPr="00C72B4E">
        <w:rPr>
          <w:rFonts w:ascii="Book Antiqua" w:hAnsi="Book Antiqua" w:cs="Times New Roman"/>
        </w:rPr>
        <w:t>Solusi</w:t>
      </w:r>
      <w:proofErr w:type="spellEnd"/>
      <w:r w:rsidRPr="00C72B4E">
        <w:rPr>
          <w:rFonts w:ascii="Book Antiqua" w:hAnsi="Book Antiqua" w:cs="Times New Roman"/>
        </w:rPr>
        <w:t xml:space="preserve"> Tunas </w:t>
      </w:r>
      <w:proofErr w:type="spellStart"/>
      <w:r w:rsidRPr="00C72B4E">
        <w:rPr>
          <w:rFonts w:ascii="Book Antiqua" w:hAnsi="Book Antiqua" w:cs="Times New Roman"/>
        </w:rPr>
        <w:t>Pratama</w:t>
      </w:r>
      <w:proofErr w:type="spellEnd"/>
      <w:r w:rsidRPr="00C72B4E">
        <w:rPr>
          <w:rFonts w:ascii="Book Antiqua" w:hAnsi="Book Antiqua" w:cs="Times New Roman"/>
        </w:rPr>
        <w:t xml:space="preserve"> </w:t>
      </w:r>
      <w:proofErr w:type="spellStart"/>
      <w:r w:rsidRPr="00C72B4E">
        <w:rPr>
          <w:rFonts w:ascii="Book Antiqua" w:hAnsi="Book Antiqua" w:cs="Times New Roman"/>
        </w:rPr>
        <w:t>Tbk's</w:t>
      </w:r>
      <w:proofErr w:type="spellEnd"/>
      <w:r w:rsidRPr="00C72B4E">
        <w:rPr>
          <w:rFonts w:ascii="Book Antiqua" w:hAnsi="Book Antiqua" w:cs="Times New Roman"/>
        </w:rPr>
        <w:t xml:space="preserve"> CR value is still within safe limits and can be categorized as liquid, indicating that the company has sufficient capacity to pay its short-term liabilities without having to sacrifice long-term operations. This condition demonstrates stable financial management, especially in the post-pandemic recovery phase where liquidity is an important aspect in maintaining the continuity of telecommunications companies' operations.</w:t>
      </w:r>
    </w:p>
    <w:p w14:paraId="1BA3E28F" w14:textId="77777777" w:rsidR="00485B26" w:rsidRPr="00561D13" w:rsidRDefault="00485B26" w:rsidP="00485B26">
      <w:pPr>
        <w:pStyle w:val="ListParagraph"/>
        <w:spacing w:line="240" w:lineRule="auto"/>
        <w:ind w:left="1080" w:firstLine="360"/>
        <w:jc w:val="both"/>
        <w:rPr>
          <w:rFonts w:ascii="Book Antiqua" w:hAnsi="Book Antiqua" w:cs="Times New Roman"/>
        </w:rPr>
      </w:pPr>
    </w:p>
    <w:p w14:paraId="5DC2E44C" w14:textId="77777777" w:rsidR="00C72B4E" w:rsidRPr="00C72B4E" w:rsidRDefault="000D45AE" w:rsidP="00C72B4E">
      <w:pPr>
        <w:pStyle w:val="ListParagraph"/>
        <w:numPr>
          <w:ilvl w:val="0"/>
          <w:numId w:val="16"/>
        </w:numPr>
        <w:spacing w:line="240" w:lineRule="auto"/>
        <w:jc w:val="both"/>
        <w:rPr>
          <w:rFonts w:ascii="Book Antiqua" w:hAnsi="Book Antiqua" w:cs="Times New Roman"/>
          <w:b/>
          <w:bCs/>
        </w:rPr>
      </w:pPr>
      <w:r w:rsidRPr="00561D13">
        <w:rPr>
          <w:rFonts w:ascii="Book Antiqua" w:hAnsi="Book Antiqua" w:cs="Times New Roman"/>
          <w:b/>
          <w:bCs/>
        </w:rPr>
        <w:t>Quick Ratio</w:t>
      </w:r>
      <w:r w:rsidR="00EE5114" w:rsidRPr="00EE5114">
        <w:t xml:space="preserve"> </w:t>
      </w:r>
    </w:p>
    <w:p w14:paraId="3C6E0351" w14:textId="12430D92" w:rsidR="00EE5114" w:rsidRPr="00C72B4E" w:rsidRDefault="00EE5114" w:rsidP="00C72B4E">
      <w:pPr>
        <w:spacing w:after="0" w:line="240" w:lineRule="auto"/>
        <w:jc w:val="center"/>
        <w:rPr>
          <w:rFonts w:ascii="Book Antiqua" w:hAnsi="Book Antiqua" w:cs="Times New Roman"/>
          <w:b/>
          <w:bCs/>
        </w:rPr>
      </w:pPr>
      <w:r w:rsidRPr="00C72B4E">
        <w:rPr>
          <w:rFonts w:ascii="Book Antiqua" w:hAnsi="Book Antiqua" w:cs="Times New Roman"/>
          <w:b/>
          <w:bCs/>
        </w:rPr>
        <w:t>Table 4.2</w:t>
      </w:r>
      <w:r w:rsidR="00C72B4E">
        <w:rPr>
          <w:rFonts w:ascii="Book Antiqua" w:hAnsi="Book Antiqua" w:cs="Times New Roman"/>
          <w:b/>
          <w:bCs/>
        </w:rPr>
        <w:t xml:space="preserve"> </w:t>
      </w:r>
      <w:r w:rsidRPr="00C72B4E">
        <w:rPr>
          <w:rFonts w:ascii="Book Antiqua" w:hAnsi="Book Antiqua" w:cs="Times New Roman"/>
          <w:b/>
          <w:bCs/>
        </w:rPr>
        <w:t>Quick Ratio Calculation Results for the 2015-2024 Period</w:t>
      </w:r>
    </w:p>
    <w:p w14:paraId="35ECB14E" w14:textId="6381FD43" w:rsidR="000D45AE" w:rsidRPr="00561D13" w:rsidRDefault="00EE5114" w:rsidP="00C72B4E">
      <w:pPr>
        <w:pStyle w:val="ListParagraph"/>
        <w:spacing w:after="0" w:line="240" w:lineRule="auto"/>
        <w:ind w:left="0"/>
        <w:jc w:val="center"/>
        <w:rPr>
          <w:rFonts w:ascii="Book Antiqua" w:hAnsi="Book Antiqua" w:cs="Times New Roman"/>
          <w:b/>
          <w:bCs/>
        </w:rPr>
      </w:pPr>
      <w:r w:rsidRPr="00EE5114">
        <w:rPr>
          <w:rFonts w:ascii="Book Antiqua" w:hAnsi="Book Antiqua" w:cs="Times New Roman"/>
          <w:b/>
          <w:bCs/>
        </w:rPr>
        <w:t>(In Millions of Rupiah)</w:t>
      </w:r>
      <w:r w:rsidR="00485B26" w:rsidRPr="00485B26">
        <w:rPr>
          <w:noProof/>
        </w:rPr>
        <w:drawing>
          <wp:inline distT="0" distB="0" distL="0" distR="0" wp14:anchorId="428C08C0" wp14:editId="524BA899">
            <wp:extent cx="4019152" cy="1581150"/>
            <wp:effectExtent l="0" t="0" r="635" b="0"/>
            <wp:docPr id="175108398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3201" cy="1610281"/>
                    </a:xfrm>
                    <a:prstGeom prst="rect">
                      <a:avLst/>
                    </a:prstGeom>
                    <a:noFill/>
                    <a:ln>
                      <a:noFill/>
                    </a:ln>
                  </pic:spPr>
                </pic:pic>
              </a:graphicData>
            </a:graphic>
          </wp:inline>
        </w:drawing>
      </w:r>
    </w:p>
    <w:p w14:paraId="5DC1BEC6" w14:textId="55160673" w:rsidR="00EE5114" w:rsidRPr="00C72B4E" w:rsidRDefault="00485B26" w:rsidP="00C72B4E">
      <w:pPr>
        <w:pStyle w:val="ListParagraph"/>
        <w:spacing w:line="240" w:lineRule="auto"/>
        <w:ind w:left="1080"/>
        <w:jc w:val="both"/>
        <w:rPr>
          <w:rFonts w:ascii="Book Antiqua" w:hAnsi="Book Antiqua" w:cs="Times New Roman"/>
        </w:rPr>
      </w:pPr>
      <w:r w:rsidRPr="00485B26">
        <w:rPr>
          <w:rFonts w:ascii="Book Antiqua" w:hAnsi="Book Antiqua" w:cs="Times New Roman"/>
        </w:rPr>
        <w:t>Source: Processed Data</w:t>
      </w:r>
    </w:p>
    <w:p w14:paraId="589AD878" w14:textId="77777777" w:rsidR="00C72B4E" w:rsidRDefault="00EE5114" w:rsidP="00C72B4E">
      <w:pPr>
        <w:pStyle w:val="ListParagraph"/>
        <w:spacing w:line="240" w:lineRule="auto"/>
        <w:ind w:left="0" w:firstLine="567"/>
        <w:jc w:val="both"/>
        <w:rPr>
          <w:rFonts w:ascii="Book Antiqua" w:hAnsi="Book Antiqua" w:cs="Times New Roman"/>
        </w:rPr>
      </w:pPr>
      <w:r w:rsidRPr="00EE5114">
        <w:rPr>
          <w:rFonts w:ascii="Book Antiqua" w:hAnsi="Book Antiqua" w:cs="Times New Roman"/>
        </w:rPr>
        <w:t xml:space="preserve">The Quick Ratio (QR) is a more stringent indicator for measuring a company's ability to meet its short-term obligations without relying on inventory (Gitman &amp; Zutter, 2015). Based on the analysis results, PT </w:t>
      </w:r>
      <w:proofErr w:type="spellStart"/>
      <w:r w:rsidRPr="00EE5114">
        <w:rPr>
          <w:rFonts w:ascii="Book Antiqua" w:hAnsi="Book Antiqua" w:cs="Times New Roman"/>
        </w:rPr>
        <w:t>Solusi</w:t>
      </w:r>
      <w:proofErr w:type="spellEnd"/>
      <w:r w:rsidRPr="00EE5114">
        <w:rPr>
          <w:rFonts w:ascii="Book Antiqua" w:hAnsi="Book Antiqua" w:cs="Times New Roman"/>
        </w:rPr>
        <w:t xml:space="preserve"> Tunas </w:t>
      </w:r>
      <w:proofErr w:type="spellStart"/>
      <w:r w:rsidRPr="00EE5114">
        <w:rPr>
          <w:rFonts w:ascii="Book Antiqua" w:hAnsi="Book Antiqua" w:cs="Times New Roman"/>
        </w:rPr>
        <w:t>Pratama</w:t>
      </w:r>
      <w:proofErr w:type="spellEnd"/>
      <w:r w:rsidRPr="00EE5114">
        <w:rPr>
          <w:rFonts w:ascii="Book Antiqua" w:hAnsi="Book Antiqua" w:cs="Times New Roman"/>
        </w:rPr>
        <w:t xml:space="preserve"> </w:t>
      </w:r>
      <w:proofErr w:type="spellStart"/>
      <w:r w:rsidRPr="00EE5114">
        <w:rPr>
          <w:rFonts w:ascii="Book Antiqua" w:hAnsi="Book Antiqua" w:cs="Times New Roman"/>
        </w:rPr>
        <w:t>Tbk's</w:t>
      </w:r>
      <w:proofErr w:type="spellEnd"/>
      <w:r w:rsidRPr="00EE5114">
        <w:rPr>
          <w:rFonts w:ascii="Book Antiqua" w:hAnsi="Book Antiqua" w:cs="Times New Roman"/>
        </w:rPr>
        <w:t xml:space="preserve"> QR during the 2015–2024 period also showed fluctuations in line with the CR. The highest value was recorded in 2015 at 211.91 times, while the lowest value occurred in 2018 at 22.56 times. At the end of the 2024 period, this ratio increased to 28.01 </w:t>
      </w:r>
      <w:r w:rsidRPr="00EE5114">
        <w:rPr>
          <w:rFonts w:ascii="Book Antiqua" w:hAnsi="Book Antiqua" w:cs="Times New Roman"/>
        </w:rPr>
        <w:lastRenderedPageBreak/>
        <w:t>times, indicating an improvement in the company's financial position in terms of liquid assets such as cash and accounts receivable.</w:t>
      </w:r>
    </w:p>
    <w:p w14:paraId="25657D07" w14:textId="77777777" w:rsidR="00C72B4E" w:rsidRDefault="00EE5114" w:rsidP="00C72B4E">
      <w:pPr>
        <w:pStyle w:val="ListParagraph"/>
        <w:spacing w:line="240" w:lineRule="auto"/>
        <w:ind w:left="0" w:firstLine="567"/>
        <w:jc w:val="both"/>
        <w:rPr>
          <w:rFonts w:ascii="Book Antiqua" w:hAnsi="Book Antiqua" w:cs="Times New Roman"/>
        </w:rPr>
      </w:pPr>
      <w:r w:rsidRPr="00C72B4E">
        <w:rPr>
          <w:rFonts w:ascii="Book Antiqua" w:hAnsi="Book Antiqua" w:cs="Times New Roman"/>
        </w:rPr>
        <w:t>This change in QR is in line with the characteristics of companies engaged in the telecommunications tower infrastructure sector, where most assets are in the form of long-term investments rather than inventories. Therefore, the increase in QR reflects the company's ability to maintain a balance between cash and short-term liabilities. According to Hery (2017), a high quick ratio indicates that the company has a healthy financial structure and is prepared to meet sudden liabilities without having to liquidate its fixed assets.</w:t>
      </w:r>
    </w:p>
    <w:p w14:paraId="0F2E0DDE" w14:textId="5DF54503" w:rsidR="00EE5114" w:rsidRPr="00C72B4E" w:rsidRDefault="00EE5114" w:rsidP="00C72B4E">
      <w:pPr>
        <w:pStyle w:val="ListParagraph"/>
        <w:spacing w:line="240" w:lineRule="auto"/>
        <w:ind w:left="0" w:firstLine="567"/>
        <w:jc w:val="both"/>
        <w:rPr>
          <w:rFonts w:ascii="Book Antiqua" w:hAnsi="Book Antiqua" w:cs="Times New Roman"/>
        </w:rPr>
      </w:pPr>
      <w:r w:rsidRPr="00C72B4E">
        <w:rPr>
          <w:rFonts w:ascii="Book Antiqua" w:hAnsi="Book Antiqua" w:cs="Times New Roman"/>
        </w:rPr>
        <w:t xml:space="preserve">The upward trend in QR at the end of the research period indicates management's efforts to maintain operational cash stability through expenditure efficiency and optimization of cash inflows from tower leasing activities. Overall, PT </w:t>
      </w:r>
      <w:proofErr w:type="spellStart"/>
      <w:r w:rsidRPr="00C72B4E">
        <w:rPr>
          <w:rFonts w:ascii="Book Antiqua" w:hAnsi="Book Antiqua" w:cs="Times New Roman"/>
        </w:rPr>
        <w:t>Solusi</w:t>
      </w:r>
      <w:proofErr w:type="spellEnd"/>
      <w:r w:rsidRPr="00C72B4E">
        <w:rPr>
          <w:rFonts w:ascii="Book Antiqua" w:hAnsi="Book Antiqua" w:cs="Times New Roman"/>
        </w:rPr>
        <w:t xml:space="preserve"> Tunas </w:t>
      </w:r>
      <w:proofErr w:type="spellStart"/>
      <w:r w:rsidRPr="00C72B4E">
        <w:rPr>
          <w:rFonts w:ascii="Book Antiqua" w:hAnsi="Book Antiqua" w:cs="Times New Roman"/>
        </w:rPr>
        <w:t>Pratama</w:t>
      </w:r>
      <w:proofErr w:type="spellEnd"/>
      <w:r w:rsidRPr="00C72B4E">
        <w:rPr>
          <w:rFonts w:ascii="Book Antiqua" w:hAnsi="Book Antiqua" w:cs="Times New Roman"/>
        </w:rPr>
        <w:t xml:space="preserve"> </w:t>
      </w:r>
      <w:proofErr w:type="spellStart"/>
      <w:r w:rsidRPr="00C72B4E">
        <w:rPr>
          <w:rFonts w:ascii="Book Antiqua" w:hAnsi="Book Antiqua" w:cs="Times New Roman"/>
        </w:rPr>
        <w:t>Tbk's</w:t>
      </w:r>
      <w:proofErr w:type="spellEnd"/>
      <w:r w:rsidRPr="00C72B4E">
        <w:rPr>
          <w:rFonts w:ascii="Book Antiqua" w:hAnsi="Book Antiqua" w:cs="Times New Roman"/>
        </w:rPr>
        <w:t xml:space="preserve"> QR value is in fairly good condition and demonstrates healthy liquidity in meeting short-term obligations without relying on the sale of assets or inventory.</w:t>
      </w:r>
    </w:p>
    <w:p w14:paraId="37000863" w14:textId="77777777" w:rsidR="00EE5114" w:rsidRPr="00EE5114" w:rsidRDefault="00EE5114" w:rsidP="00EE5114">
      <w:pPr>
        <w:pStyle w:val="ListParagraph"/>
        <w:spacing w:line="240" w:lineRule="auto"/>
        <w:ind w:left="1080" w:firstLine="360"/>
        <w:jc w:val="both"/>
        <w:rPr>
          <w:rFonts w:ascii="Book Antiqua" w:hAnsi="Book Antiqua" w:cs="Times New Roman"/>
        </w:rPr>
      </w:pPr>
    </w:p>
    <w:p w14:paraId="24B9C827" w14:textId="776B81F5" w:rsidR="000D45AE" w:rsidRPr="00561D13" w:rsidRDefault="000D45AE" w:rsidP="00EE5114">
      <w:pPr>
        <w:pStyle w:val="ListParagraph"/>
        <w:numPr>
          <w:ilvl w:val="0"/>
          <w:numId w:val="16"/>
        </w:numPr>
        <w:spacing w:line="240" w:lineRule="auto"/>
        <w:jc w:val="both"/>
        <w:rPr>
          <w:rFonts w:ascii="Book Antiqua" w:hAnsi="Book Antiqua" w:cs="Times New Roman"/>
          <w:b/>
          <w:bCs/>
        </w:rPr>
      </w:pPr>
      <w:r w:rsidRPr="00561D13">
        <w:rPr>
          <w:rFonts w:ascii="Book Antiqua" w:hAnsi="Book Antiqua" w:cs="Times New Roman"/>
          <w:b/>
          <w:bCs/>
        </w:rPr>
        <w:t>Cash Ratio</w:t>
      </w:r>
    </w:p>
    <w:p w14:paraId="47DBB29F" w14:textId="22757712" w:rsidR="00EE5114" w:rsidRPr="00C72B4E" w:rsidRDefault="00EE5114" w:rsidP="00C72B4E">
      <w:pPr>
        <w:pStyle w:val="ListParagraph"/>
        <w:spacing w:line="240" w:lineRule="auto"/>
        <w:ind w:left="1080"/>
        <w:jc w:val="center"/>
        <w:rPr>
          <w:rFonts w:ascii="Book Antiqua" w:hAnsi="Book Antiqua" w:cs="Times New Roman"/>
          <w:b/>
          <w:bCs/>
        </w:rPr>
      </w:pPr>
      <w:r w:rsidRPr="00EE5114">
        <w:rPr>
          <w:rFonts w:ascii="Book Antiqua" w:hAnsi="Book Antiqua" w:cs="Times New Roman"/>
          <w:b/>
          <w:bCs/>
        </w:rPr>
        <w:t>Table 4.3</w:t>
      </w:r>
      <w:r w:rsidR="00C72B4E">
        <w:rPr>
          <w:rFonts w:ascii="Book Antiqua" w:hAnsi="Book Antiqua" w:cs="Times New Roman"/>
          <w:b/>
          <w:bCs/>
        </w:rPr>
        <w:t xml:space="preserve"> </w:t>
      </w:r>
      <w:r w:rsidRPr="00C72B4E">
        <w:rPr>
          <w:rFonts w:ascii="Book Antiqua" w:hAnsi="Book Antiqua" w:cs="Times New Roman"/>
          <w:b/>
          <w:bCs/>
        </w:rPr>
        <w:t>Cash Ratio Calculation Results for the 2015-2024 Period</w:t>
      </w:r>
    </w:p>
    <w:p w14:paraId="7CC74F47" w14:textId="52606131" w:rsidR="00F06D6D" w:rsidRPr="00561D13" w:rsidRDefault="00EE5114" w:rsidP="00C72B4E">
      <w:pPr>
        <w:pStyle w:val="ListParagraph"/>
        <w:spacing w:line="240" w:lineRule="auto"/>
        <w:ind w:left="0"/>
        <w:jc w:val="center"/>
        <w:rPr>
          <w:rFonts w:ascii="Book Antiqua" w:hAnsi="Book Antiqua" w:cs="Times New Roman"/>
          <w:b/>
          <w:bCs/>
        </w:rPr>
      </w:pPr>
      <w:r w:rsidRPr="00EE5114">
        <w:rPr>
          <w:rFonts w:ascii="Book Antiqua" w:hAnsi="Book Antiqua" w:cs="Times New Roman"/>
          <w:b/>
          <w:bCs/>
        </w:rPr>
        <w:t>(In Millions of Rupiah)</w:t>
      </w:r>
      <w:r w:rsidR="00485B26" w:rsidRPr="00485B26">
        <w:rPr>
          <w:noProof/>
        </w:rPr>
        <w:drawing>
          <wp:inline distT="0" distB="0" distL="0" distR="0" wp14:anchorId="509D80BB" wp14:editId="379DB436">
            <wp:extent cx="3937000" cy="1457028"/>
            <wp:effectExtent l="0" t="0" r="6350" b="0"/>
            <wp:docPr id="1737319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3954" cy="1481807"/>
                    </a:xfrm>
                    <a:prstGeom prst="rect">
                      <a:avLst/>
                    </a:prstGeom>
                    <a:noFill/>
                    <a:ln>
                      <a:noFill/>
                    </a:ln>
                  </pic:spPr>
                </pic:pic>
              </a:graphicData>
            </a:graphic>
          </wp:inline>
        </w:drawing>
      </w:r>
    </w:p>
    <w:p w14:paraId="1261AC32" w14:textId="31393E44" w:rsidR="00EE5114" w:rsidRPr="00C72B4E" w:rsidRDefault="00485B26" w:rsidP="00C72B4E">
      <w:pPr>
        <w:pStyle w:val="ListParagraph"/>
        <w:spacing w:line="240" w:lineRule="auto"/>
        <w:ind w:left="1080"/>
        <w:jc w:val="both"/>
        <w:rPr>
          <w:rFonts w:ascii="Book Antiqua" w:hAnsi="Book Antiqua" w:cs="Times New Roman"/>
        </w:rPr>
      </w:pPr>
      <w:r w:rsidRPr="00485B26">
        <w:rPr>
          <w:rFonts w:ascii="Book Antiqua" w:hAnsi="Book Antiqua" w:cs="Times New Roman"/>
        </w:rPr>
        <w:t>Source: Processed Data</w:t>
      </w:r>
    </w:p>
    <w:p w14:paraId="6D7AAA5B" w14:textId="77777777" w:rsidR="00C72B4E" w:rsidRDefault="00EE5114" w:rsidP="00C72B4E">
      <w:pPr>
        <w:pStyle w:val="ListParagraph"/>
        <w:ind w:left="0" w:firstLine="567"/>
        <w:jc w:val="both"/>
        <w:rPr>
          <w:rFonts w:ascii="Book Antiqua" w:hAnsi="Book Antiqua" w:cs="Times New Roman"/>
        </w:rPr>
      </w:pPr>
      <w:r w:rsidRPr="00EE5114">
        <w:rPr>
          <w:rFonts w:ascii="Book Antiqua" w:hAnsi="Book Antiqua" w:cs="Times New Roman"/>
        </w:rPr>
        <w:t xml:space="preserve">The Cash Ratio is used to measure the extent to which a company's short-term liabilities can be covered directly by available cash (Brigham &amp; Houston, 2019). Based on the analysis in Table 1, it is known that the Cash Ratio value of PT </w:t>
      </w:r>
      <w:proofErr w:type="spellStart"/>
      <w:r w:rsidRPr="00EE5114">
        <w:rPr>
          <w:rFonts w:ascii="Book Antiqua" w:hAnsi="Book Antiqua" w:cs="Times New Roman"/>
        </w:rPr>
        <w:t>Solusi</w:t>
      </w:r>
      <w:proofErr w:type="spellEnd"/>
      <w:r w:rsidRPr="00EE5114">
        <w:rPr>
          <w:rFonts w:ascii="Book Antiqua" w:hAnsi="Book Antiqua" w:cs="Times New Roman"/>
        </w:rPr>
        <w:t xml:space="preserve"> Tunas </w:t>
      </w:r>
      <w:proofErr w:type="spellStart"/>
      <w:r w:rsidRPr="00EE5114">
        <w:rPr>
          <w:rFonts w:ascii="Book Antiqua" w:hAnsi="Book Antiqua" w:cs="Times New Roman"/>
        </w:rPr>
        <w:t>Pratama</w:t>
      </w:r>
      <w:proofErr w:type="spellEnd"/>
      <w:r w:rsidRPr="00EE5114">
        <w:rPr>
          <w:rFonts w:ascii="Book Antiqua" w:hAnsi="Book Antiqua" w:cs="Times New Roman"/>
        </w:rPr>
        <w:t xml:space="preserve"> </w:t>
      </w:r>
      <w:proofErr w:type="spellStart"/>
      <w:r w:rsidRPr="00EE5114">
        <w:rPr>
          <w:rFonts w:ascii="Book Antiqua" w:hAnsi="Book Antiqua" w:cs="Times New Roman"/>
        </w:rPr>
        <w:t>Tbk</w:t>
      </w:r>
      <w:proofErr w:type="spellEnd"/>
      <w:r w:rsidRPr="00EE5114">
        <w:rPr>
          <w:rFonts w:ascii="Book Antiqua" w:hAnsi="Book Antiqua" w:cs="Times New Roman"/>
        </w:rPr>
        <w:t xml:space="preserve"> during the 2015–2024 period tended to decline. The highest value was achieved in 2015 at 27.57 times, while the lowest value occurred in 2024 at 0.69 times. This decline indicates that the company has shifted its cash management strategy, possibly due to increased investment in fixed assets and new infrastructure projects that require large financing.</w:t>
      </w:r>
    </w:p>
    <w:p w14:paraId="16E479F9" w14:textId="77777777" w:rsidR="00C72B4E" w:rsidRDefault="00EE5114" w:rsidP="00C72B4E">
      <w:pPr>
        <w:pStyle w:val="ListParagraph"/>
        <w:ind w:left="0" w:firstLine="567"/>
        <w:jc w:val="both"/>
        <w:rPr>
          <w:rFonts w:ascii="Book Antiqua" w:hAnsi="Book Antiqua" w:cs="Times New Roman"/>
        </w:rPr>
      </w:pPr>
      <w:r w:rsidRPr="00C72B4E">
        <w:rPr>
          <w:rFonts w:ascii="Book Antiqua" w:hAnsi="Book Antiqua" w:cs="Times New Roman"/>
        </w:rPr>
        <w:t xml:space="preserve">Even though the Cash Ratio value has decreased, this does not always reflect poor financial conditions. According to Kasmir (2018), a low cash ratio can indicate that the company is using its cash efficiently for productive activities, as long as it remains able to meet its short-term obligations through operating cash flow. In the context of PT </w:t>
      </w:r>
      <w:proofErr w:type="spellStart"/>
      <w:r w:rsidRPr="00C72B4E">
        <w:rPr>
          <w:rFonts w:ascii="Book Antiqua" w:hAnsi="Book Antiqua" w:cs="Times New Roman"/>
        </w:rPr>
        <w:t>Solusi</w:t>
      </w:r>
      <w:proofErr w:type="spellEnd"/>
      <w:r w:rsidRPr="00C72B4E">
        <w:rPr>
          <w:rFonts w:ascii="Book Antiqua" w:hAnsi="Book Antiqua" w:cs="Times New Roman"/>
        </w:rPr>
        <w:t xml:space="preserve"> Tunas </w:t>
      </w:r>
      <w:proofErr w:type="spellStart"/>
      <w:r w:rsidRPr="00C72B4E">
        <w:rPr>
          <w:rFonts w:ascii="Book Antiqua" w:hAnsi="Book Antiqua" w:cs="Times New Roman"/>
        </w:rPr>
        <w:t>Pratama</w:t>
      </w:r>
      <w:proofErr w:type="spellEnd"/>
      <w:r w:rsidRPr="00C72B4E">
        <w:rPr>
          <w:rFonts w:ascii="Book Antiqua" w:hAnsi="Book Antiqua" w:cs="Times New Roman"/>
        </w:rPr>
        <w:t xml:space="preserve"> </w:t>
      </w:r>
      <w:proofErr w:type="spellStart"/>
      <w:r w:rsidRPr="00C72B4E">
        <w:rPr>
          <w:rFonts w:ascii="Book Antiqua" w:hAnsi="Book Antiqua" w:cs="Times New Roman"/>
        </w:rPr>
        <w:t>Tbk</w:t>
      </w:r>
      <w:proofErr w:type="spellEnd"/>
      <w:r w:rsidRPr="00C72B4E">
        <w:rPr>
          <w:rFonts w:ascii="Book Antiqua" w:hAnsi="Book Antiqua" w:cs="Times New Roman"/>
        </w:rPr>
        <w:t>, the decline in this ratio can be interpreted as the company's effort to balance liquidity needs and fixed asset expansion.</w:t>
      </w:r>
    </w:p>
    <w:p w14:paraId="74B14459" w14:textId="52D3800E" w:rsidR="00EE5114" w:rsidRPr="00C72B4E" w:rsidRDefault="00EE5114" w:rsidP="00C72B4E">
      <w:pPr>
        <w:pStyle w:val="ListParagraph"/>
        <w:ind w:left="0" w:firstLine="567"/>
        <w:jc w:val="both"/>
        <w:rPr>
          <w:rFonts w:ascii="Book Antiqua" w:hAnsi="Book Antiqua" w:cs="Times New Roman"/>
        </w:rPr>
      </w:pPr>
      <w:r w:rsidRPr="00C72B4E">
        <w:rPr>
          <w:rFonts w:ascii="Book Antiqua" w:hAnsi="Book Antiqua" w:cs="Times New Roman"/>
        </w:rPr>
        <w:lastRenderedPageBreak/>
        <w:t xml:space="preserve">Considering the capital-intensive nature of the telecommunications industry, a declining cash ratio does not necessarily indicate weakness in financial management. As long as the company is able to maintain stable operating cash flow and retain its ability to pay short-term liabilities, its financial condition can be categorized as still healthy and under control. This shows that PT </w:t>
      </w:r>
      <w:proofErr w:type="spellStart"/>
      <w:r w:rsidRPr="00C72B4E">
        <w:rPr>
          <w:rFonts w:ascii="Book Antiqua" w:hAnsi="Book Antiqua" w:cs="Times New Roman"/>
        </w:rPr>
        <w:t>Solusi</w:t>
      </w:r>
      <w:proofErr w:type="spellEnd"/>
      <w:r w:rsidRPr="00C72B4E">
        <w:rPr>
          <w:rFonts w:ascii="Book Antiqua" w:hAnsi="Book Antiqua" w:cs="Times New Roman"/>
        </w:rPr>
        <w:t xml:space="preserve"> Tunas </w:t>
      </w:r>
      <w:proofErr w:type="spellStart"/>
      <w:r w:rsidRPr="00C72B4E">
        <w:rPr>
          <w:rFonts w:ascii="Book Antiqua" w:hAnsi="Book Antiqua" w:cs="Times New Roman"/>
        </w:rPr>
        <w:t>Pratama</w:t>
      </w:r>
      <w:proofErr w:type="spellEnd"/>
      <w:r w:rsidRPr="00C72B4E">
        <w:rPr>
          <w:rFonts w:ascii="Book Antiqua" w:hAnsi="Book Antiqua" w:cs="Times New Roman"/>
        </w:rPr>
        <w:t xml:space="preserve"> </w:t>
      </w:r>
      <w:proofErr w:type="spellStart"/>
      <w:r w:rsidRPr="00C72B4E">
        <w:rPr>
          <w:rFonts w:ascii="Book Antiqua" w:hAnsi="Book Antiqua" w:cs="Times New Roman"/>
        </w:rPr>
        <w:t>Tbk</w:t>
      </w:r>
      <w:proofErr w:type="spellEnd"/>
      <w:r w:rsidRPr="00C72B4E">
        <w:rPr>
          <w:rFonts w:ascii="Book Antiqua" w:hAnsi="Book Antiqua" w:cs="Times New Roman"/>
        </w:rPr>
        <w:t xml:space="preserve"> continues to have a cash management strategy that is adaptive to industry dynamics and the needs of telecommunications tower network expansion in Indonesia.</w:t>
      </w:r>
    </w:p>
    <w:p w14:paraId="09FF7F65" w14:textId="77777777" w:rsidR="00EE5114" w:rsidRDefault="00EE5114" w:rsidP="00EE5114">
      <w:pPr>
        <w:pStyle w:val="ListParagraph"/>
        <w:numPr>
          <w:ilvl w:val="0"/>
          <w:numId w:val="15"/>
        </w:numPr>
        <w:spacing w:line="240" w:lineRule="auto"/>
        <w:jc w:val="both"/>
        <w:rPr>
          <w:rFonts w:ascii="Book Antiqua" w:hAnsi="Book Antiqua" w:cs="Times New Roman"/>
          <w:b/>
          <w:bCs/>
        </w:rPr>
      </w:pPr>
      <w:r w:rsidRPr="00EE5114">
        <w:rPr>
          <w:rFonts w:ascii="Book Antiqua" w:hAnsi="Book Antiqua" w:cs="Times New Roman"/>
          <w:b/>
          <w:bCs/>
        </w:rPr>
        <w:t>Activity Ratio</w:t>
      </w:r>
    </w:p>
    <w:p w14:paraId="7E663B3D" w14:textId="311AED59" w:rsidR="00F06D6D" w:rsidRPr="00EE5114" w:rsidRDefault="00F06D6D" w:rsidP="00EE5114">
      <w:pPr>
        <w:pStyle w:val="ListParagraph"/>
        <w:numPr>
          <w:ilvl w:val="0"/>
          <w:numId w:val="17"/>
        </w:numPr>
        <w:spacing w:line="240" w:lineRule="auto"/>
        <w:jc w:val="both"/>
        <w:rPr>
          <w:rFonts w:ascii="Book Antiqua" w:hAnsi="Book Antiqua" w:cs="Times New Roman"/>
          <w:b/>
          <w:bCs/>
        </w:rPr>
      </w:pPr>
      <w:r w:rsidRPr="00EE5114">
        <w:rPr>
          <w:rFonts w:ascii="Book Antiqua" w:hAnsi="Book Antiqua" w:cs="Times New Roman"/>
          <w:b/>
          <w:bCs/>
        </w:rPr>
        <w:t>TATO</w:t>
      </w:r>
    </w:p>
    <w:p w14:paraId="69BD72FE" w14:textId="7A1257AE" w:rsidR="00F06D6D" w:rsidRPr="00C72B4E" w:rsidRDefault="00EE5114" w:rsidP="00C72B4E">
      <w:pPr>
        <w:pStyle w:val="ListParagraph"/>
        <w:spacing w:line="240" w:lineRule="auto"/>
        <w:ind w:left="1080"/>
        <w:jc w:val="center"/>
        <w:rPr>
          <w:rFonts w:ascii="Book Antiqua" w:hAnsi="Book Antiqua" w:cs="Times New Roman"/>
          <w:b/>
          <w:bCs/>
        </w:rPr>
      </w:pPr>
      <w:r w:rsidRPr="00EE5114">
        <w:rPr>
          <w:rFonts w:ascii="Book Antiqua" w:hAnsi="Book Antiqua" w:cs="Times New Roman"/>
          <w:b/>
          <w:bCs/>
        </w:rPr>
        <w:t>Table 4.4</w:t>
      </w:r>
      <w:r w:rsidR="00C72B4E">
        <w:rPr>
          <w:rFonts w:ascii="Book Antiqua" w:hAnsi="Book Antiqua" w:cs="Times New Roman"/>
          <w:b/>
          <w:bCs/>
        </w:rPr>
        <w:t xml:space="preserve"> </w:t>
      </w:r>
      <w:r w:rsidRPr="00C72B4E">
        <w:rPr>
          <w:rFonts w:ascii="Book Antiqua" w:hAnsi="Book Antiqua" w:cs="Times New Roman"/>
          <w:b/>
          <w:bCs/>
        </w:rPr>
        <w:t>Calculation Results for Total Asset Turnover Ratio for the 2015-2024 Period</w:t>
      </w:r>
      <w:r w:rsidR="00C72B4E">
        <w:rPr>
          <w:rFonts w:ascii="Book Antiqua" w:hAnsi="Book Antiqua" w:cs="Times New Roman"/>
          <w:b/>
          <w:bCs/>
        </w:rPr>
        <w:t xml:space="preserve"> </w:t>
      </w:r>
      <w:r w:rsidRPr="00C72B4E">
        <w:rPr>
          <w:rFonts w:ascii="Book Antiqua" w:hAnsi="Book Antiqua" w:cs="Times New Roman"/>
          <w:b/>
          <w:bCs/>
        </w:rPr>
        <w:t>(In Millions of Rupiah)</w:t>
      </w:r>
    </w:p>
    <w:p w14:paraId="08D6EB6C" w14:textId="36878A03" w:rsidR="00EE5114" w:rsidRPr="00561D13" w:rsidRDefault="00EE5114" w:rsidP="00C72B4E">
      <w:pPr>
        <w:pStyle w:val="ListParagraph"/>
        <w:spacing w:line="240" w:lineRule="auto"/>
        <w:ind w:left="0"/>
        <w:jc w:val="center"/>
        <w:rPr>
          <w:rFonts w:ascii="Book Antiqua" w:hAnsi="Book Antiqua" w:cs="Times New Roman"/>
          <w:b/>
          <w:bCs/>
        </w:rPr>
      </w:pPr>
      <w:r w:rsidRPr="00EE5114">
        <w:rPr>
          <w:noProof/>
        </w:rPr>
        <w:drawing>
          <wp:inline distT="0" distB="0" distL="0" distR="0" wp14:anchorId="3EB7C5C8" wp14:editId="7B7EA501">
            <wp:extent cx="3765550" cy="1471823"/>
            <wp:effectExtent l="0" t="0" r="6350" b="0"/>
            <wp:docPr id="177578443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1472" cy="1489772"/>
                    </a:xfrm>
                    <a:prstGeom prst="rect">
                      <a:avLst/>
                    </a:prstGeom>
                    <a:noFill/>
                    <a:ln>
                      <a:noFill/>
                    </a:ln>
                  </pic:spPr>
                </pic:pic>
              </a:graphicData>
            </a:graphic>
          </wp:inline>
        </w:drawing>
      </w:r>
    </w:p>
    <w:p w14:paraId="657DC308" w14:textId="151BC4F8" w:rsidR="00EE5114" w:rsidRPr="00C72B4E" w:rsidRDefault="00485B26" w:rsidP="00C72B4E">
      <w:pPr>
        <w:pStyle w:val="ListParagraph"/>
        <w:spacing w:line="240" w:lineRule="auto"/>
        <w:ind w:left="1080"/>
        <w:jc w:val="both"/>
        <w:rPr>
          <w:rFonts w:ascii="Book Antiqua" w:hAnsi="Book Antiqua" w:cs="Times New Roman"/>
        </w:rPr>
      </w:pPr>
      <w:r w:rsidRPr="00485B26">
        <w:rPr>
          <w:rFonts w:ascii="Book Antiqua" w:hAnsi="Book Antiqua" w:cs="Times New Roman"/>
        </w:rPr>
        <w:t>Source: Processed Data</w:t>
      </w:r>
    </w:p>
    <w:p w14:paraId="7B367A52" w14:textId="77777777" w:rsidR="00C72B4E" w:rsidRDefault="00EE5114" w:rsidP="00C72B4E">
      <w:pPr>
        <w:pStyle w:val="ListParagraph"/>
        <w:spacing w:line="240" w:lineRule="auto"/>
        <w:ind w:left="0" w:firstLine="567"/>
        <w:jc w:val="both"/>
        <w:rPr>
          <w:rFonts w:ascii="Book Antiqua" w:hAnsi="Book Antiqua" w:cs="Times New Roman"/>
        </w:rPr>
      </w:pPr>
      <w:r w:rsidRPr="00EE5114">
        <w:rPr>
          <w:rFonts w:ascii="Book Antiqua" w:hAnsi="Book Antiqua" w:cs="Times New Roman"/>
        </w:rPr>
        <w:t xml:space="preserve">Based on the calculations in Table 4.4, it is known that the Total Asset Turnover (TATO) of PT </w:t>
      </w:r>
      <w:proofErr w:type="spellStart"/>
      <w:r w:rsidRPr="00EE5114">
        <w:rPr>
          <w:rFonts w:ascii="Book Antiqua" w:hAnsi="Book Antiqua" w:cs="Times New Roman"/>
        </w:rPr>
        <w:t>Solusi</w:t>
      </w:r>
      <w:proofErr w:type="spellEnd"/>
      <w:r w:rsidRPr="00EE5114">
        <w:rPr>
          <w:rFonts w:ascii="Book Antiqua" w:hAnsi="Book Antiqua" w:cs="Times New Roman"/>
        </w:rPr>
        <w:t xml:space="preserve"> Tunas </w:t>
      </w:r>
      <w:proofErr w:type="spellStart"/>
      <w:r w:rsidRPr="00EE5114">
        <w:rPr>
          <w:rFonts w:ascii="Book Antiqua" w:hAnsi="Book Antiqua" w:cs="Times New Roman"/>
        </w:rPr>
        <w:t>Pratama</w:t>
      </w:r>
      <w:proofErr w:type="spellEnd"/>
      <w:r w:rsidRPr="00EE5114">
        <w:rPr>
          <w:rFonts w:ascii="Book Antiqua" w:hAnsi="Book Antiqua" w:cs="Times New Roman"/>
        </w:rPr>
        <w:t xml:space="preserve"> </w:t>
      </w:r>
      <w:proofErr w:type="spellStart"/>
      <w:r w:rsidRPr="00EE5114">
        <w:rPr>
          <w:rFonts w:ascii="Book Antiqua" w:hAnsi="Book Antiqua" w:cs="Times New Roman"/>
        </w:rPr>
        <w:t>Tbk</w:t>
      </w:r>
      <w:proofErr w:type="spellEnd"/>
      <w:r w:rsidRPr="00EE5114">
        <w:rPr>
          <w:rFonts w:ascii="Book Antiqua" w:hAnsi="Book Antiqua" w:cs="Times New Roman"/>
        </w:rPr>
        <w:t xml:space="preserve"> during the 2015–2024 period shows a relatively stable trend with a slight increase at the end of the period. The highest TATO value was achieved in 2024 at 0.03 times, while the lowest value occurred in 2015 at 0.01 times. This relatively small value indicates that the company is still unable to maximize the use of its total assets to generate optimal revenue.</w:t>
      </w:r>
    </w:p>
    <w:p w14:paraId="3E233EAD" w14:textId="77777777" w:rsidR="00C72B4E" w:rsidRDefault="00EE5114" w:rsidP="00C72B4E">
      <w:pPr>
        <w:pStyle w:val="ListParagraph"/>
        <w:spacing w:line="240" w:lineRule="auto"/>
        <w:ind w:left="0" w:firstLine="567"/>
        <w:jc w:val="both"/>
        <w:rPr>
          <w:rFonts w:ascii="Book Antiqua" w:hAnsi="Book Antiqua" w:cs="Times New Roman"/>
        </w:rPr>
      </w:pPr>
      <w:r w:rsidRPr="00C72B4E">
        <w:rPr>
          <w:rFonts w:ascii="Book Antiqua" w:hAnsi="Book Antiqua" w:cs="Times New Roman"/>
        </w:rPr>
        <w:t xml:space="preserve">According to Gitman and Zutter (2015), the higher the Total Asset Turnover value, the more efficient the company is in using its assets to generate sales. The low TATO of PT </w:t>
      </w:r>
      <w:proofErr w:type="spellStart"/>
      <w:r w:rsidRPr="00C72B4E">
        <w:rPr>
          <w:rFonts w:ascii="Book Antiqua" w:hAnsi="Book Antiqua" w:cs="Times New Roman"/>
        </w:rPr>
        <w:t>Solusi</w:t>
      </w:r>
      <w:proofErr w:type="spellEnd"/>
      <w:r w:rsidRPr="00C72B4E">
        <w:rPr>
          <w:rFonts w:ascii="Book Antiqua" w:hAnsi="Book Antiqua" w:cs="Times New Roman"/>
        </w:rPr>
        <w:t xml:space="preserve"> Tunas </w:t>
      </w:r>
      <w:proofErr w:type="spellStart"/>
      <w:r w:rsidRPr="00C72B4E">
        <w:rPr>
          <w:rFonts w:ascii="Book Antiqua" w:hAnsi="Book Antiqua" w:cs="Times New Roman"/>
        </w:rPr>
        <w:t>Pratama</w:t>
      </w:r>
      <w:proofErr w:type="spellEnd"/>
      <w:r w:rsidRPr="00C72B4E">
        <w:rPr>
          <w:rFonts w:ascii="Book Antiqua" w:hAnsi="Book Antiqua" w:cs="Times New Roman"/>
        </w:rPr>
        <w:t xml:space="preserve"> </w:t>
      </w:r>
      <w:proofErr w:type="spellStart"/>
      <w:r w:rsidRPr="00C72B4E">
        <w:rPr>
          <w:rFonts w:ascii="Book Antiqua" w:hAnsi="Book Antiqua" w:cs="Times New Roman"/>
        </w:rPr>
        <w:t>Tbk</w:t>
      </w:r>
      <w:proofErr w:type="spellEnd"/>
      <w:r w:rsidRPr="00C72B4E">
        <w:rPr>
          <w:rFonts w:ascii="Book Antiqua" w:hAnsi="Book Antiqua" w:cs="Times New Roman"/>
        </w:rPr>
        <w:t xml:space="preserve"> can be explained by the nature of its business as a capital-intensive telecommunications tower infrastructure company that requires long-term investment in fixed assets, such as towers, transmission equipment, and network devices. These assets require a long time to generate significant cash flow.</w:t>
      </w:r>
    </w:p>
    <w:p w14:paraId="3E69C432" w14:textId="7F74C7D5" w:rsidR="00F06D6D" w:rsidRDefault="00EE5114" w:rsidP="00C72B4E">
      <w:pPr>
        <w:pStyle w:val="ListParagraph"/>
        <w:spacing w:line="240" w:lineRule="auto"/>
        <w:ind w:left="0" w:firstLine="567"/>
        <w:jc w:val="both"/>
        <w:rPr>
          <w:rFonts w:ascii="Book Antiqua" w:hAnsi="Book Antiqua" w:cs="Times New Roman"/>
        </w:rPr>
      </w:pPr>
      <w:r w:rsidRPr="00C72B4E">
        <w:rPr>
          <w:rFonts w:ascii="Book Antiqua" w:hAnsi="Book Antiqua" w:cs="Times New Roman"/>
        </w:rPr>
        <w:t xml:space="preserve">However, the increase in TATO in recent years shows that the company has begun to optimize its assets to generate higher revenues. This may be due to network expansion and an increase in the number of tower leases by major mobile operators in Indonesia. Thus, it can be concluded that the efficiency of PT </w:t>
      </w:r>
      <w:proofErr w:type="spellStart"/>
      <w:r w:rsidRPr="00C72B4E">
        <w:rPr>
          <w:rFonts w:ascii="Book Antiqua" w:hAnsi="Book Antiqua" w:cs="Times New Roman"/>
        </w:rPr>
        <w:t>Solusi</w:t>
      </w:r>
      <w:proofErr w:type="spellEnd"/>
      <w:r w:rsidRPr="00C72B4E">
        <w:rPr>
          <w:rFonts w:ascii="Book Antiqua" w:hAnsi="Book Antiqua" w:cs="Times New Roman"/>
        </w:rPr>
        <w:t xml:space="preserve"> Tunas </w:t>
      </w:r>
      <w:proofErr w:type="spellStart"/>
      <w:r w:rsidRPr="00C72B4E">
        <w:rPr>
          <w:rFonts w:ascii="Book Antiqua" w:hAnsi="Book Antiqua" w:cs="Times New Roman"/>
        </w:rPr>
        <w:t>Pratama</w:t>
      </w:r>
      <w:proofErr w:type="spellEnd"/>
      <w:r w:rsidRPr="00C72B4E">
        <w:rPr>
          <w:rFonts w:ascii="Book Antiqua" w:hAnsi="Book Antiqua" w:cs="Times New Roman"/>
        </w:rPr>
        <w:t xml:space="preserve"> </w:t>
      </w:r>
      <w:proofErr w:type="spellStart"/>
      <w:r w:rsidRPr="00C72B4E">
        <w:rPr>
          <w:rFonts w:ascii="Book Antiqua" w:hAnsi="Book Antiqua" w:cs="Times New Roman"/>
        </w:rPr>
        <w:t>Tbk's</w:t>
      </w:r>
      <w:proofErr w:type="spellEnd"/>
      <w:r w:rsidRPr="00C72B4E">
        <w:rPr>
          <w:rFonts w:ascii="Book Antiqua" w:hAnsi="Book Antiqua" w:cs="Times New Roman"/>
        </w:rPr>
        <w:t xml:space="preserve"> asset utilization has improved, although it is still below the ideal level when compared to other industries that are not as capital intensive.</w:t>
      </w:r>
    </w:p>
    <w:p w14:paraId="7C3914E2" w14:textId="77777777" w:rsidR="00C72B4E" w:rsidRPr="00C72B4E" w:rsidRDefault="00C72B4E" w:rsidP="00C72B4E">
      <w:pPr>
        <w:pStyle w:val="ListParagraph"/>
        <w:spacing w:line="240" w:lineRule="auto"/>
        <w:ind w:left="0" w:firstLine="567"/>
        <w:jc w:val="both"/>
        <w:rPr>
          <w:rFonts w:ascii="Book Antiqua" w:hAnsi="Book Antiqua" w:cs="Times New Roman"/>
        </w:rPr>
      </w:pPr>
    </w:p>
    <w:p w14:paraId="4A18A6FD" w14:textId="77777777" w:rsidR="00EE5114" w:rsidRPr="00561D13" w:rsidRDefault="00EE5114" w:rsidP="00DA1A16">
      <w:pPr>
        <w:pStyle w:val="ListParagraph"/>
        <w:spacing w:line="240" w:lineRule="auto"/>
        <w:ind w:left="1080" w:firstLine="360"/>
        <w:jc w:val="both"/>
        <w:rPr>
          <w:rFonts w:ascii="Book Antiqua" w:hAnsi="Book Antiqua" w:cs="Times New Roman"/>
        </w:rPr>
      </w:pPr>
    </w:p>
    <w:p w14:paraId="271F341B" w14:textId="77777777" w:rsidR="00EE5114" w:rsidRPr="00EE5114" w:rsidRDefault="00F06D6D" w:rsidP="00EE5114">
      <w:pPr>
        <w:pStyle w:val="ListParagraph"/>
        <w:numPr>
          <w:ilvl w:val="0"/>
          <w:numId w:val="17"/>
        </w:numPr>
        <w:spacing w:line="240" w:lineRule="auto"/>
        <w:jc w:val="both"/>
        <w:rPr>
          <w:rFonts w:ascii="Book Antiqua" w:hAnsi="Book Antiqua" w:cs="Times New Roman"/>
          <w:b/>
          <w:bCs/>
        </w:rPr>
      </w:pPr>
      <w:r w:rsidRPr="00561D13">
        <w:rPr>
          <w:rFonts w:ascii="Book Antiqua" w:hAnsi="Book Antiqua" w:cs="Times New Roman"/>
          <w:b/>
          <w:bCs/>
        </w:rPr>
        <w:lastRenderedPageBreak/>
        <w:t>FATO</w:t>
      </w:r>
      <w:r w:rsidR="00EE5114" w:rsidRPr="00EE5114">
        <w:t xml:space="preserve"> </w:t>
      </w:r>
    </w:p>
    <w:p w14:paraId="4B71FECF" w14:textId="71640ECB" w:rsidR="00F06D6D" w:rsidRPr="00C72B4E" w:rsidRDefault="00EE5114" w:rsidP="00C72B4E">
      <w:pPr>
        <w:pStyle w:val="ListParagraph"/>
        <w:spacing w:line="240" w:lineRule="auto"/>
        <w:ind w:left="1080"/>
        <w:jc w:val="center"/>
        <w:rPr>
          <w:rFonts w:ascii="Book Antiqua" w:hAnsi="Book Antiqua" w:cs="Times New Roman"/>
          <w:b/>
          <w:bCs/>
        </w:rPr>
      </w:pPr>
      <w:r w:rsidRPr="00EE5114">
        <w:rPr>
          <w:rFonts w:ascii="Book Antiqua" w:hAnsi="Book Antiqua" w:cs="Times New Roman"/>
          <w:b/>
          <w:bCs/>
        </w:rPr>
        <w:t>Table 4.5</w:t>
      </w:r>
      <w:r w:rsidR="00C72B4E">
        <w:rPr>
          <w:rFonts w:ascii="Book Antiqua" w:hAnsi="Book Antiqua" w:cs="Times New Roman"/>
          <w:b/>
          <w:bCs/>
        </w:rPr>
        <w:t xml:space="preserve"> </w:t>
      </w:r>
      <w:r w:rsidRPr="00C72B4E">
        <w:rPr>
          <w:rFonts w:ascii="Book Antiqua" w:hAnsi="Book Antiqua" w:cs="Times New Roman"/>
          <w:b/>
          <w:bCs/>
        </w:rPr>
        <w:t>Fixed Asset Turnover Ratio Calculation Results for the 2015-2024 Period</w:t>
      </w:r>
      <w:r w:rsidR="00C72B4E">
        <w:rPr>
          <w:rFonts w:ascii="Book Antiqua" w:hAnsi="Book Antiqua" w:cs="Times New Roman"/>
          <w:b/>
          <w:bCs/>
        </w:rPr>
        <w:t xml:space="preserve"> </w:t>
      </w:r>
      <w:r w:rsidRPr="00C72B4E">
        <w:rPr>
          <w:rFonts w:ascii="Book Antiqua" w:hAnsi="Book Antiqua" w:cs="Times New Roman"/>
          <w:b/>
          <w:bCs/>
        </w:rPr>
        <w:t>(In Millions of Rupiah)</w:t>
      </w:r>
    </w:p>
    <w:p w14:paraId="26408B37" w14:textId="2A77431E" w:rsidR="00865A75" w:rsidRPr="00EE5114" w:rsidRDefault="00865A75" w:rsidP="00C72B4E">
      <w:pPr>
        <w:pStyle w:val="ListParagraph"/>
        <w:spacing w:line="240" w:lineRule="auto"/>
        <w:ind w:left="0"/>
        <w:jc w:val="center"/>
        <w:rPr>
          <w:rFonts w:ascii="Book Antiqua" w:hAnsi="Book Antiqua" w:cs="Times New Roman"/>
          <w:b/>
          <w:bCs/>
        </w:rPr>
      </w:pPr>
      <w:r w:rsidRPr="00865A75">
        <w:rPr>
          <w:noProof/>
        </w:rPr>
        <w:drawing>
          <wp:inline distT="0" distB="0" distL="0" distR="0" wp14:anchorId="4AC0E39E" wp14:editId="1F00F992">
            <wp:extent cx="3727450" cy="1511788"/>
            <wp:effectExtent l="0" t="0" r="6350" b="0"/>
            <wp:docPr id="56363112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5799" cy="1531397"/>
                    </a:xfrm>
                    <a:prstGeom prst="rect">
                      <a:avLst/>
                    </a:prstGeom>
                    <a:noFill/>
                    <a:ln>
                      <a:noFill/>
                    </a:ln>
                  </pic:spPr>
                </pic:pic>
              </a:graphicData>
            </a:graphic>
          </wp:inline>
        </w:drawing>
      </w:r>
    </w:p>
    <w:p w14:paraId="6C82B5D9" w14:textId="6A006284" w:rsidR="00F06D6D" w:rsidRPr="00561D13" w:rsidRDefault="00485B26" w:rsidP="00DA1A16">
      <w:pPr>
        <w:pStyle w:val="ListParagraph"/>
        <w:spacing w:line="240" w:lineRule="auto"/>
        <w:ind w:left="1080"/>
        <w:jc w:val="both"/>
        <w:rPr>
          <w:rFonts w:ascii="Book Antiqua" w:hAnsi="Book Antiqua" w:cs="Times New Roman"/>
        </w:rPr>
      </w:pPr>
      <w:r w:rsidRPr="00485B26">
        <w:rPr>
          <w:rFonts w:ascii="Book Antiqua" w:hAnsi="Book Antiqua" w:cs="Times New Roman"/>
        </w:rPr>
        <w:t>Source: Processed Data</w:t>
      </w:r>
    </w:p>
    <w:p w14:paraId="42A1D64E" w14:textId="74D98F97" w:rsidR="00F06D6D" w:rsidRPr="00561D13" w:rsidRDefault="00F06D6D" w:rsidP="00DA1A16">
      <w:pPr>
        <w:pStyle w:val="ListParagraph"/>
        <w:spacing w:line="240" w:lineRule="auto"/>
        <w:ind w:left="1080"/>
        <w:jc w:val="both"/>
        <w:rPr>
          <w:rFonts w:ascii="Book Antiqua" w:hAnsi="Book Antiqua" w:cs="Times New Roman"/>
          <w:b/>
          <w:bCs/>
        </w:rPr>
      </w:pPr>
    </w:p>
    <w:p w14:paraId="141D28F2" w14:textId="77777777" w:rsidR="00C72B4E" w:rsidRDefault="00865A75" w:rsidP="00C72B4E">
      <w:pPr>
        <w:pStyle w:val="ListParagraph"/>
        <w:spacing w:line="240" w:lineRule="auto"/>
        <w:ind w:left="0" w:firstLine="567"/>
        <w:jc w:val="both"/>
        <w:rPr>
          <w:rFonts w:ascii="Book Antiqua" w:hAnsi="Book Antiqua" w:cs="Times New Roman"/>
        </w:rPr>
      </w:pPr>
      <w:r w:rsidRPr="00865A75">
        <w:rPr>
          <w:rFonts w:ascii="Book Antiqua" w:hAnsi="Book Antiqua" w:cs="Times New Roman"/>
        </w:rPr>
        <w:t xml:space="preserve">The results of the calculations in Table 4.5 show that PT </w:t>
      </w:r>
      <w:proofErr w:type="spellStart"/>
      <w:r w:rsidRPr="00865A75">
        <w:rPr>
          <w:rFonts w:ascii="Book Antiqua" w:hAnsi="Book Antiqua" w:cs="Times New Roman"/>
        </w:rPr>
        <w:t>Solusi</w:t>
      </w:r>
      <w:proofErr w:type="spellEnd"/>
      <w:r w:rsidRPr="00865A75">
        <w:rPr>
          <w:rFonts w:ascii="Book Antiqua" w:hAnsi="Book Antiqua" w:cs="Times New Roman"/>
        </w:rPr>
        <w:t xml:space="preserve"> Tunas </w:t>
      </w:r>
      <w:proofErr w:type="spellStart"/>
      <w:r w:rsidRPr="00865A75">
        <w:rPr>
          <w:rFonts w:ascii="Book Antiqua" w:hAnsi="Book Antiqua" w:cs="Times New Roman"/>
        </w:rPr>
        <w:t>Pratama</w:t>
      </w:r>
      <w:proofErr w:type="spellEnd"/>
      <w:r w:rsidRPr="00865A75">
        <w:rPr>
          <w:rFonts w:ascii="Book Antiqua" w:hAnsi="Book Antiqua" w:cs="Times New Roman"/>
        </w:rPr>
        <w:t xml:space="preserve"> </w:t>
      </w:r>
      <w:proofErr w:type="spellStart"/>
      <w:r w:rsidRPr="00865A75">
        <w:rPr>
          <w:rFonts w:ascii="Book Antiqua" w:hAnsi="Book Antiqua" w:cs="Times New Roman"/>
        </w:rPr>
        <w:t>Tbk's</w:t>
      </w:r>
      <w:proofErr w:type="spellEnd"/>
      <w:r w:rsidRPr="00865A75">
        <w:rPr>
          <w:rFonts w:ascii="Book Antiqua" w:hAnsi="Book Antiqua" w:cs="Times New Roman"/>
        </w:rPr>
        <w:t xml:space="preserve"> Fixed Asset Turnover (FATO) during the 2015–2024 period experienced a similar pattern to TATO, which was in the range of 0.01 to 0.03 times with an upward trend at the end of the period. This value illustrates the company's level of efficiency in utilizing its fixed assets to generate income.</w:t>
      </w:r>
    </w:p>
    <w:p w14:paraId="26DF3E4B" w14:textId="77777777" w:rsidR="00C72B4E" w:rsidRDefault="00865A75" w:rsidP="00C72B4E">
      <w:pPr>
        <w:pStyle w:val="ListParagraph"/>
        <w:spacing w:line="240" w:lineRule="auto"/>
        <w:ind w:left="0" w:firstLine="567"/>
        <w:jc w:val="both"/>
        <w:rPr>
          <w:rFonts w:ascii="Book Antiqua" w:hAnsi="Book Antiqua" w:cs="Times New Roman"/>
        </w:rPr>
      </w:pPr>
      <w:r w:rsidRPr="00C72B4E">
        <w:rPr>
          <w:rFonts w:ascii="Book Antiqua" w:hAnsi="Book Antiqua" w:cs="Times New Roman"/>
        </w:rPr>
        <w:t xml:space="preserve">According to Hery (2017), a low activity ratio in Fixed Asset Turnover generally indicates that a company has a large amount of fixed assets that are not yet fully utilized productively. In the context of PT </w:t>
      </w:r>
      <w:proofErr w:type="spellStart"/>
      <w:r w:rsidRPr="00C72B4E">
        <w:rPr>
          <w:rFonts w:ascii="Book Antiqua" w:hAnsi="Book Antiqua" w:cs="Times New Roman"/>
        </w:rPr>
        <w:t>Solusi</w:t>
      </w:r>
      <w:proofErr w:type="spellEnd"/>
      <w:r w:rsidRPr="00C72B4E">
        <w:rPr>
          <w:rFonts w:ascii="Book Antiqua" w:hAnsi="Book Antiqua" w:cs="Times New Roman"/>
        </w:rPr>
        <w:t xml:space="preserve"> Tunas </w:t>
      </w:r>
      <w:proofErr w:type="spellStart"/>
      <w:r w:rsidRPr="00C72B4E">
        <w:rPr>
          <w:rFonts w:ascii="Book Antiqua" w:hAnsi="Book Antiqua" w:cs="Times New Roman"/>
        </w:rPr>
        <w:t>Pratama</w:t>
      </w:r>
      <w:proofErr w:type="spellEnd"/>
      <w:r w:rsidRPr="00C72B4E">
        <w:rPr>
          <w:rFonts w:ascii="Book Antiqua" w:hAnsi="Book Antiqua" w:cs="Times New Roman"/>
        </w:rPr>
        <w:t xml:space="preserve"> </w:t>
      </w:r>
      <w:proofErr w:type="spellStart"/>
      <w:r w:rsidRPr="00C72B4E">
        <w:rPr>
          <w:rFonts w:ascii="Book Antiqua" w:hAnsi="Book Antiqua" w:cs="Times New Roman"/>
        </w:rPr>
        <w:t>Tbk</w:t>
      </w:r>
      <w:proofErr w:type="spellEnd"/>
      <w:r w:rsidRPr="00C72B4E">
        <w:rPr>
          <w:rFonts w:ascii="Book Antiqua" w:hAnsi="Book Antiqua" w:cs="Times New Roman"/>
        </w:rPr>
        <w:t>, this can be understood because the company's main assets are towers and network equipment that have a long useful life and do not directly contribute to short-term revenue growth.</w:t>
      </w:r>
    </w:p>
    <w:p w14:paraId="0F656D8B" w14:textId="168C5D2C" w:rsidR="00865A75" w:rsidRPr="00C72B4E" w:rsidRDefault="00865A75" w:rsidP="00C72B4E">
      <w:pPr>
        <w:pStyle w:val="ListParagraph"/>
        <w:spacing w:line="240" w:lineRule="auto"/>
        <w:ind w:left="0" w:firstLine="567"/>
        <w:jc w:val="both"/>
        <w:rPr>
          <w:rFonts w:ascii="Book Antiqua" w:hAnsi="Book Antiqua" w:cs="Times New Roman"/>
        </w:rPr>
      </w:pPr>
      <w:r w:rsidRPr="00C72B4E">
        <w:rPr>
          <w:rFonts w:ascii="Book Antiqua" w:hAnsi="Book Antiqua" w:cs="Times New Roman"/>
        </w:rPr>
        <w:t xml:space="preserve">However, the increase in FATO value in the 2022–2024 period indicates an improvement in efficiency and increased utilization of the company's fixed assets. This is in line with the trend of increasing demand for telecommunications and digital services, which has prompted mobile operators to expand their network capacity, thereby positively impacting tower leasing performance. Thus, it can be concluded that PT </w:t>
      </w:r>
      <w:proofErr w:type="spellStart"/>
      <w:r w:rsidRPr="00C72B4E">
        <w:rPr>
          <w:rFonts w:ascii="Book Antiqua" w:hAnsi="Book Antiqua" w:cs="Times New Roman"/>
        </w:rPr>
        <w:t>Solusi</w:t>
      </w:r>
      <w:proofErr w:type="spellEnd"/>
      <w:r w:rsidRPr="00C72B4E">
        <w:rPr>
          <w:rFonts w:ascii="Book Antiqua" w:hAnsi="Book Antiqua" w:cs="Times New Roman"/>
        </w:rPr>
        <w:t xml:space="preserve"> Tunas </w:t>
      </w:r>
      <w:proofErr w:type="spellStart"/>
      <w:r w:rsidRPr="00C72B4E">
        <w:rPr>
          <w:rFonts w:ascii="Book Antiqua" w:hAnsi="Book Antiqua" w:cs="Times New Roman"/>
        </w:rPr>
        <w:t>Pratama</w:t>
      </w:r>
      <w:proofErr w:type="spellEnd"/>
      <w:r w:rsidRPr="00C72B4E">
        <w:rPr>
          <w:rFonts w:ascii="Book Antiqua" w:hAnsi="Book Antiqua" w:cs="Times New Roman"/>
        </w:rPr>
        <w:t xml:space="preserve"> </w:t>
      </w:r>
      <w:proofErr w:type="spellStart"/>
      <w:r w:rsidRPr="00C72B4E">
        <w:rPr>
          <w:rFonts w:ascii="Book Antiqua" w:hAnsi="Book Antiqua" w:cs="Times New Roman"/>
        </w:rPr>
        <w:t>Tbk</w:t>
      </w:r>
      <w:proofErr w:type="spellEnd"/>
      <w:r w:rsidRPr="00C72B4E">
        <w:rPr>
          <w:rFonts w:ascii="Book Antiqua" w:hAnsi="Book Antiqua" w:cs="Times New Roman"/>
        </w:rPr>
        <w:t xml:space="preserve"> has succeeded in improving the effectiveness of its fixed asset utilization, even though the ratio value is still relatively low in the industry.</w:t>
      </w:r>
    </w:p>
    <w:p w14:paraId="674E509F" w14:textId="42118FE3" w:rsidR="00865A75" w:rsidRDefault="00865A75" w:rsidP="00865A75">
      <w:pPr>
        <w:pStyle w:val="ListParagraph"/>
        <w:numPr>
          <w:ilvl w:val="0"/>
          <w:numId w:val="15"/>
        </w:numPr>
        <w:spacing w:line="240" w:lineRule="auto"/>
        <w:jc w:val="both"/>
        <w:rPr>
          <w:rFonts w:ascii="Book Antiqua" w:hAnsi="Book Antiqua" w:cs="Times New Roman"/>
          <w:b/>
          <w:bCs/>
        </w:rPr>
      </w:pPr>
      <w:r w:rsidRPr="00865A75">
        <w:rPr>
          <w:rFonts w:ascii="Book Antiqua" w:hAnsi="Book Antiqua" w:cs="Times New Roman"/>
          <w:b/>
          <w:bCs/>
        </w:rPr>
        <w:t>Solvency Ratio</w:t>
      </w:r>
    </w:p>
    <w:p w14:paraId="79BFEFB9" w14:textId="57B8522C" w:rsidR="00FF0C3C" w:rsidRPr="00561D13" w:rsidRDefault="00FF0C3C" w:rsidP="00865A75">
      <w:pPr>
        <w:pStyle w:val="ListParagraph"/>
        <w:numPr>
          <w:ilvl w:val="0"/>
          <w:numId w:val="18"/>
        </w:numPr>
        <w:spacing w:line="240" w:lineRule="auto"/>
        <w:jc w:val="both"/>
        <w:rPr>
          <w:rFonts w:ascii="Book Antiqua" w:hAnsi="Book Antiqua" w:cs="Times New Roman"/>
          <w:b/>
          <w:bCs/>
        </w:rPr>
      </w:pPr>
      <w:r w:rsidRPr="00561D13">
        <w:rPr>
          <w:rFonts w:ascii="Book Antiqua" w:hAnsi="Book Antiqua" w:cs="Times New Roman"/>
          <w:b/>
          <w:bCs/>
        </w:rPr>
        <w:t>DER</w:t>
      </w:r>
    </w:p>
    <w:p w14:paraId="680CA634" w14:textId="1082EFF8" w:rsidR="00FF0C3C" w:rsidRPr="00C72B4E" w:rsidRDefault="00865A75" w:rsidP="00C72B4E">
      <w:pPr>
        <w:pStyle w:val="ListParagraph"/>
        <w:spacing w:line="240" w:lineRule="auto"/>
        <w:ind w:left="1080"/>
        <w:jc w:val="center"/>
        <w:rPr>
          <w:rFonts w:ascii="Book Antiqua" w:hAnsi="Book Antiqua" w:cs="Times New Roman"/>
          <w:b/>
          <w:bCs/>
        </w:rPr>
      </w:pPr>
      <w:r w:rsidRPr="00865A75">
        <w:rPr>
          <w:rFonts w:ascii="Book Antiqua" w:hAnsi="Book Antiqua" w:cs="Times New Roman"/>
          <w:b/>
          <w:bCs/>
        </w:rPr>
        <w:t>Table 4.6</w:t>
      </w:r>
      <w:r w:rsidR="00C72B4E">
        <w:rPr>
          <w:rFonts w:ascii="Book Antiqua" w:hAnsi="Book Antiqua" w:cs="Times New Roman"/>
          <w:b/>
          <w:bCs/>
        </w:rPr>
        <w:t xml:space="preserve"> </w:t>
      </w:r>
      <w:r w:rsidRPr="00C72B4E">
        <w:rPr>
          <w:rFonts w:ascii="Book Antiqua" w:hAnsi="Book Antiqua" w:cs="Times New Roman"/>
          <w:b/>
          <w:bCs/>
        </w:rPr>
        <w:t>Debt to Equity Ratio Calculation Results for the 2015-2024 Period</w:t>
      </w:r>
      <w:r w:rsidR="00C72B4E">
        <w:rPr>
          <w:rFonts w:ascii="Book Antiqua" w:hAnsi="Book Antiqua" w:cs="Times New Roman"/>
          <w:b/>
          <w:bCs/>
        </w:rPr>
        <w:t xml:space="preserve"> </w:t>
      </w:r>
      <w:r w:rsidRPr="00C72B4E">
        <w:rPr>
          <w:rFonts w:ascii="Book Antiqua" w:hAnsi="Book Antiqua" w:cs="Times New Roman"/>
          <w:b/>
          <w:bCs/>
        </w:rPr>
        <w:t>(In Millions of Rupiah)</w:t>
      </w:r>
    </w:p>
    <w:p w14:paraId="48E14F9C" w14:textId="41FA7973" w:rsidR="00865A75" w:rsidRPr="00865A75" w:rsidRDefault="00865A75" w:rsidP="00C72B4E">
      <w:pPr>
        <w:pStyle w:val="ListParagraph"/>
        <w:spacing w:line="240" w:lineRule="auto"/>
        <w:ind w:left="-142"/>
        <w:jc w:val="center"/>
        <w:rPr>
          <w:rFonts w:ascii="Book Antiqua" w:hAnsi="Book Antiqua" w:cs="Times New Roman"/>
          <w:b/>
          <w:bCs/>
          <w:noProof/>
        </w:rPr>
      </w:pPr>
      <w:r w:rsidRPr="00865A75">
        <w:rPr>
          <w:noProof/>
        </w:rPr>
        <w:drawing>
          <wp:inline distT="0" distB="0" distL="0" distR="0" wp14:anchorId="1549116F" wp14:editId="02AAF2F5">
            <wp:extent cx="3511550" cy="1456956"/>
            <wp:effectExtent l="0" t="0" r="0" b="0"/>
            <wp:docPr id="3350329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27472" cy="1463562"/>
                    </a:xfrm>
                    <a:prstGeom prst="rect">
                      <a:avLst/>
                    </a:prstGeom>
                    <a:noFill/>
                    <a:ln>
                      <a:noFill/>
                    </a:ln>
                  </pic:spPr>
                </pic:pic>
              </a:graphicData>
            </a:graphic>
          </wp:inline>
        </w:drawing>
      </w:r>
    </w:p>
    <w:p w14:paraId="04F39E18" w14:textId="3A95CE80" w:rsidR="00FF0C3C" w:rsidRPr="00561D13" w:rsidRDefault="00485B26" w:rsidP="00DA1A16">
      <w:pPr>
        <w:pStyle w:val="ListParagraph"/>
        <w:spacing w:line="240" w:lineRule="auto"/>
        <w:ind w:left="1080"/>
        <w:jc w:val="both"/>
        <w:rPr>
          <w:rFonts w:ascii="Book Antiqua" w:hAnsi="Book Antiqua" w:cs="Times New Roman"/>
          <w:b/>
          <w:bCs/>
        </w:rPr>
      </w:pPr>
      <w:r w:rsidRPr="00485B26">
        <w:rPr>
          <w:rFonts w:ascii="Book Antiqua" w:hAnsi="Book Antiqua" w:cs="Times New Roman"/>
        </w:rPr>
        <w:lastRenderedPageBreak/>
        <w:t>Source: Processed Data</w:t>
      </w:r>
    </w:p>
    <w:p w14:paraId="622C3D5E" w14:textId="7337492A" w:rsidR="00FF0C3C" w:rsidRPr="00561D13" w:rsidRDefault="00FF0C3C" w:rsidP="00DA1A16">
      <w:pPr>
        <w:pStyle w:val="ListParagraph"/>
        <w:spacing w:line="240" w:lineRule="auto"/>
        <w:ind w:left="1080"/>
        <w:jc w:val="both"/>
        <w:rPr>
          <w:rFonts w:ascii="Book Antiqua" w:hAnsi="Book Antiqua" w:cs="Times New Roman"/>
          <w:b/>
          <w:bCs/>
        </w:rPr>
      </w:pPr>
    </w:p>
    <w:p w14:paraId="0C6BAC7D" w14:textId="77777777" w:rsidR="00C72B4E" w:rsidRDefault="00865A75" w:rsidP="00C72B4E">
      <w:pPr>
        <w:pStyle w:val="ListParagraph"/>
        <w:spacing w:line="240" w:lineRule="auto"/>
        <w:ind w:left="0" w:firstLine="567"/>
        <w:jc w:val="both"/>
        <w:rPr>
          <w:rFonts w:ascii="Book Antiqua" w:hAnsi="Book Antiqua" w:cs="Times New Roman"/>
        </w:rPr>
      </w:pPr>
      <w:r w:rsidRPr="00865A75">
        <w:rPr>
          <w:rFonts w:ascii="Book Antiqua" w:hAnsi="Book Antiqua" w:cs="Times New Roman"/>
        </w:rPr>
        <w:t xml:space="preserve">Based on the analysis in Table 4.6, it is known that the Debt to Equity Ratio (DER) of PT </w:t>
      </w:r>
      <w:proofErr w:type="spellStart"/>
      <w:r w:rsidRPr="00865A75">
        <w:rPr>
          <w:rFonts w:ascii="Book Antiqua" w:hAnsi="Book Antiqua" w:cs="Times New Roman"/>
        </w:rPr>
        <w:t>Solusi</w:t>
      </w:r>
      <w:proofErr w:type="spellEnd"/>
      <w:r w:rsidRPr="00865A75">
        <w:rPr>
          <w:rFonts w:ascii="Book Antiqua" w:hAnsi="Book Antiqua" w:cs="Times New Roman"/>
        </w:rPr>
        <w:t xml:space="preserve"> Tunas </w:t>
      </w:r>
      <w:proofErr w:type="spellStart"/>
      <w:r w:rsidRPr="00865A75">
        <w:rPr>
          <w:rFonts w:ascii="Book Antiqua" w:hAnsi="Book Antiqua" w:cs="Times New Roman"/>
        </w:rPr>
        <w:t>Pratama</w:t>
      </w:r>
      <w:proofErr w:type="spellEnd"/>
      <w:r w:rsidRPr="00865A75">
        <w:rPr>
          <w:rFonts w:ascii="Book Antiqua" w:hAnsi="Book Antiqua" w:cs="Times New Roman"/>
        </w:rPr>
        <w:t xml:space="preserve"> </w:t>
      </w:r>
      <w:proofErr w:type="spellStart"/>
      <w:r w:rsidRPr="00865A75">
        <w:rPr>
          <w:rFonts w:ascii="Book Antiqua" w:hAnsi="Book Antiqua" w:cs="Times New Roman"/>
        </w:rPr>
        <w:t>Tbk</w:t>
      </w:r>
      <w:proofErr w:type="spellEnd"/>
      <w:r w:rsidRPr="00865A75">
        <w:rPr>
          <w:rFonts w:ascii="Book Antiqua" w:hAnsi="Book Antiqua" w:cs="Times New Roman"/>
        </w:rPr>
        <w:t xml:space="preserve"> during the 2015–2024 period experienced a significant decline from 216.39% in 2015 to 61.59% in 2024. This decline indicates that the proportion of debt to equity has decreased, which signifies an increase in the company's financial independence.</w:t>
      </w:r>
    </w:p>
    <w:p w14:paraId="6B6D69B6" w14:textId="77777777" w:rsidR="00C72B4E" w:rsidRDefault="00865A75" w:rsidP="00C72B4E">
      <w:pPr>
        <w:pStyle w:val="ListParagraph"/>
        <w:spacing w:line="240" w:lineRule="auto"/>
        <w:ind w:left="0" w:firstLine="567"/>
        <w:jc w:val="both"/>
        <w:rPr>
          <w:rFonts w:ascii="Book Antiqua" w:hAnsi="Book Antiqua" w:cs="Times New Roman"/>
        </w:rPr>
      </w:pPr>
      <w:r w:rsidRPr="00C72B4E">
        <w:rPr>
          <w:rFonts w:ascii="Book Antiqua" w:hAnsi="Book Antiqua" w:cs="Times New Roman"/>
        </w:rPr>
        <w:t xml:space="preserve">According to Brigham and Houston (2019), a high DER ratio indicates a company's dependence on external funding, while a decrease in the DER value reflects a healthier capital structure and lower financial risk. In the context of PT </w:t>
      </w:r>
      <w:proofErr w:type="spellStart"/>
      <w:r w:rsidRPr="00C72B4E">
        <w:rPr>
          <w:rFonts w:ascii="Book Antiqua" w:hAnsi="Book Antiqua" w:cs="Times New Roman"/>
        </w:rPr>
        <w:t>Solusi</w:t>
      </w:r>
      <w:proofErr w:type="spellEnd"/>
      <w:r w:rsidRPr="00C72B4E">
        <w:rPr>
          <w:rFonts w:ascii="Book Antiqua" w:hAnsi="Book Antiqua" w:cs="Times New Roman"/>
        </w:rPr>
        <w:t xml:space="preserve"> Tunas </w:t>
      </w:r>
      <w:proofErr w:type="spellStart"/>
      <w:r w:rsidRPr="00C72B4E">
        <w:rPr>
          <w:rFonts w:ascii="Book Antiqua" w:hAnsi="Book Antiqua" w:cs="Times New Roman"/>
        </w:rPr>
        <w:t>Pratama</w:t>
      </w:r>
      <w:proofErr w:type="spellEnd"/>
      <w:r w:rsidRPr="00C72B4E">
        <w:rPr>
          <w:rFonts w:ascii="Book Antiqua" w:hAnsi="Book Antiqua" w:cs="Times New Roman"/>
        </w:rPr>
        <w:t xml:space="preserve"> </w:t>
      </w:r>
      <w:proofErr w:type="spellStart"/>
      <w:r w:rsidRPr="00C72B4E">
        <w:rPr>
          <w:rFonts w:ascii="Book Antiqua" w:hAnsi="Book Antiqua" w:cs="Times New Roman"/>
        </w:rPr>
        <w:t>Tbk</w:t>
      </w:r>
      <w:proofErr w:type="spellEnd"/>
      <w:r w:rsidRPr="00C72B4E">
        <w:rPr>
          <w:rFonts w:ascii="Book Antiqua" w:hAnsi="Book Antiqua" w:cs="Times New Roman"/>
        </w:rPr>
        <w:t>, this decline in DER shows that the company has successfully managed its long-term liabilities efficiently and has begun to rely on internal equity to finance its operational activities and business expansion.</w:t>
      </w:r>
    </w:p>
    <w:p w14:paraId="752D1E12" w14:textId="14CF2FE7" w:rsidR="00FA3A0E" w:rsidRPr="00C72B4E" w:rsidRDefault="00865A75" w:rsidP="00C72B4E">
      <w:pPr>
        <w:pStyle w:val="ListParagraph"/>
        <w:spacing w:line="240" w:lineRule="auto"/>
        <w:ind w:left="0" w:firstLine="567"/>
        <w:jc w:val="both"/>
        <w:rPr>
          <w:rFonts w:ascii="Book Antiqua" w:hAnsi="Book Antiqua" w:cs="Times New Roman"/>
        </w:rPr>
      </w:pPr>
      <w:r w:rsidRPr="00C72B4E">
        <w:rPr>
          <w:rFonts w:ascii="Book Antiqua" w:hAnsi="Book Antiqua" w:cs="Times New Roman"/>
        </w:rPr>
        <w:t xml:space="preserve">This positive trend also indicates increased investor confidence in the company's ability to generate profits and maintain financial stability. With a lower DER ratio, PT </w:t>
      </w:r>
      <w:proofErr w:type="spellStart"/>
      <w:r w:rsidRPr="00C72B4E">
        <w:rPr>
          <w:rFonts w:ascii="Book Antiqua" w:hAnsi="Book Antiqua" w:cs="Times New Roman"/>
        </w:rPr>
        <w:t>Solusi</w:t>
      </w:r>
      <w:proofErr w:type="spellEnd"/>
      <w:r w:rsidRPr="00C72B4E">
        <w:rPr>
          <w:rFonts w:ascii="Book Antiqua" w:hAnsi="Book Antiqua" w:cs="Times New Roman"/>
        </w:rPr>
        <w:t xml:space="preserve"> Tunas </w:t>
      </w:r>
      <w:proofErr w:type="spellStart"/>
      <w:r w:rsidRPr="00C72B4E">
        <w:rPr>
          <w:rFonts w:ascii="Book Antiqua" w:hAnsi="Book Antiqua" w:cs="Times New Roman"/>
        </w:rPr>
        <w:t>Pratama</w:t>
      </w:r>
      <w:proofErr w:type="spellEnd"/>
      <w:r w:rsidRPr="00C72B4E">
        <w:rPr>
          <w:rFonts w:ascii="Book Antiqua" w:hAnsi="Book Antiqua" w:cs="Times New Roman"/>
        </w:rPr>
        <w:t xml:space="preserve"> </w:t>
      </w:r>
      <w:proofErr w:type="spellStart"/>
      <w:r w:rsidRPr="00C72B4E">
        <w:rPr>
          <w:rFonts w:ascii="Book Antiqua" w:hAnsi="Book Antiqua" w:cs="Times New Roman"/>
        </w:rPr>
        <w:t>Tbk</w:t>
      </w:r>
      <w:proofErr w:type="spellEnd"/>
      <w:r w:rsidRPr="00C72B4E">
        <w:rPr>
          <w:rFonts w:ascii="Book Antiqua" w:hAnsi="Book Antiqua" w:cs="Times New Roman"/>
        </w:rPr>
        <w:t xml:space="preserve"> has more room for expansion without incurring high interest and financial burdens. Overall, the company's capital structure can be categorized as healthy and highly resilient, especially in the face of changing macroeconomic conditions.</w:t>
      </w:r>
    </w:p>
    <w:p w14:paraId="65636672" w14:textId="77777777" w:rsidR="00865A75" w:rsidRPr="00561D13" w:rsidRDefault="00865A75" w:rsidP="00865A75">
      <w:pPr>
        <w:pStyle w:val="ListParagraph"/>
        <w:spacing w:line="240" w:lineRule="auto"/>
        <w:ind w:left="1080" w:firstLine="360"/>
        <w:jc w:val="both"/>
        <w:rPr>
          <w:rFonts w:ascii="Book Antiqua" w:hAnsi="Book Antiqua" w:cs="Times New Roman"/>
        </w:rPr>
      </w:pPr>
    </w:p>
    <w:p w14:paraId="6F075D7A" w14:textId="320613A5" w:rsidR="00FF0C3C" w:rsidRPr="00561D13" w:rsidRDefault="00FF0C3C" w:rsidP="00865A75">
      <w:pPr>
        <w:pStyle w:val="ListParagraph"/>
        <w:numPr>
          <w:ilvl w:val="0"/>
          <w:numId w:val="18"/>
        </w:numPr>
        <w:spacing w:line="240" w:lineRule="auto"/>
        <w:jc w:val="both"/>
        <w:rPr>
          <w:rFonts w:ascii="Book Antiqua" w:hAnsi="Book Antiqua" w:cs="Times New Roman"/>
          <w:b/>
          <w:bCs/>
        </w:rPr>
      </w:pPr>
      <w:r w:rsidRPr="00561D13">
        <w:rPr>
          <w:rFonts w:ascii="Book Antiqua" w:hAnsi="Book Antiqua" w:cs="Times New Roman"/>
          <w:b/>
          <w:bCs/>
        </w:rPr>
        <w:t>DAR</w:t>
      </w:r>
    </w:p>
    <w:p w14:paraId="34438C9F" w14:textId="534D3FD2" w:rsidR="00FF0C3C" w:rsidRPr="00C72B4E" w:rsidRDefault="00865A75" w:rsidP="00C72B4E">
      <w:pPr>
        <w:pStyle w:val="ListParagraph"/>
        <w:spacing w:line="240" w:lineRule="auto"/>
        <w:ind w:left="1080"/>
        <w:jc w:val="center"/>
        <w:rPr>
          <w:rFonts w:ascii="Book Antiqua" w:hAnsi="Book Antiqua" w:cs="Times New Roman"/>
          <w:b/>
          <w:bCs/>
        </w:rPr>
      </w:pPr>
      <w:r w:rsidRPr="00865A75">
        <w:rPr>
          <w:rFonts w:ascii="Book Antiqua" w:hAnsi="Book Antiqua" w:cs="Times New Roman"/>
          <w:b/>
          <w:bCs/>
        </w:rPr>
        <w:t>Table 4.7</w:t>
      </w:r>
      <w:r w:rsidR="00C72B4E">
        <w:rPr>
          <w:rFonts w:ascii="Book Antiqua" w:hAnsi="Book Antiqua" w:cs="Times New Roman"/>
          <w:b/>
          <w:bCs/>
        </w:rPr>
        <w:t xml:space="preserve"> </w:t>
      </w:r>
      <w:r w:rsidRPr="00C72B4E">
        <w:rPr>
          <w:rFonts w:ascii="Book Antiqua" w:hAnsi="Book Antiqua" w:cs="Times New Roman"/>
          <w:b/>
          <w:bCs/>
        </w:rPr>
        <w:t>Calculation Results of Debt to Total Asset Ratio for the Period 2015-2024</w:t>
      </w:r>
      <w:r w:rsidR="00C72B4E">
        <w:rPr>
          <w:rFonts w:ascii="Book Antiqua" w:hAnsi="Book Antiqua" w:cs="Times New Roman"/>
          <w:b/>
          <w:bCs/>
        </w:rPr>
        <w:t xml:space="preserve"> </w:t>
      </w:r>
      <w:r w:rsidRPr="00C72B4E">
        <w:rPr>
          <w:rFonts w:ascii="Book Antiqua" w:hAnsi="Book Antiqua" w:cs="Times New Roman"/>
          <w:b/>
          <w:bCs/>
        </w:rPr>
        <w:t>(In Millions of Rupiah)</w:t>
      </w:r>
    </w:p>
    <w:p w14:paraId="022E154A" w14:textId="16564532" w:rsidR="00865A75" w:rsidRPr="00561D13" w:rsidRDefault="00865A75" w:rsidP="00C72B4E">
      <w:pPr>
        <w:pStyle w:val="ListParagraph"/>
        <w:spacing w:line="240" w:lineRule="auto"/>
        <w:ind w:left="0"/>
        <w:jc w:val="center"/>
        <w:rPr>
          <w:rFonts w:ascii="Book Antiqua" w:hAnsi="Book Antiqua" w:cs="Times New Roman"/>
          <w:b/>
          <w:bCs/>
        </w:rPr>
      </w:pPr>
      <w:r w:rsidRPr="00865A75">
        <w:rPr>
          <w:noProof/>
        </w:rPr>
        <w:drawing>
          <wp:inline distT="0" distB="0" distL="0" distR="0" wp14:anchorId="3D847900" wp14:editId="6D259827">
            <wp:extent cx="3238500" cy="1473966"/>
            <wp:effectExtent l="0" t="0" r="0" b="0"/>
            <wp:docPr id="174274449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70790" cy="1488662"/>
                    </a:xfrm>
                    <a:prstGeom prst="rect">
                      <a:avLst/>
                    </a:prstGeom>
                    <a:noFill/>
                    <a:ln>
                      <a:noFill/>
                    </a:ln>
                  </pic:spPr>
                </pic:pic>
              </a:graphicData>
            </a:graphic>
          </wp:inline>
        </w:drawing>
      </w:r>
    </w:p>
    <w:p w14:paraId="2BA39859" w14:textId="75F436BC" w:rsidR="00FF0C3C" w:rsidRDefault="00485B26" w:rsidP="00DA1A16">
      <w:pPr>
        <w:pStyle w:val="ListParagraph"/>
        <w:spacing w:line="240" w:lineRule="auto"/>
        <w:ind w:left="1080"/>
        <w:jc w:val="both"/>
        <w:rPr>
          <w:rFonts w:ascii="Book Antiqua" w:hAnsi="Book Antiqua" w:cs="Times New Roman"/>
        </w:rPr>
      </w:pPr>
      <w:r w:rsidRPr="00485B26">
        <w:rPr>
          <w:rFonts w:ascii="Book Antiqua" w:hAnsi="Book Antiqua" w:cs="Times New Roman"/>
        </w:rPr>
        <w:t>Source: Processed Data</w:t>
      </w:r>
    </w:p>
    <w:p w14:paraId="6E16FBC2" w14:textId="77777777" w:rsidR="00865A75" w:rsidRPr="00561D13" w:rsidRDefault="00865A75" w:rsidP="00DA1A16">
      <w:pPr>
        <w:pStyle w:val="ListParagraph"/>
        <w:spacing w:line="240" w:lineRule="auto"/>
        <w:ind w:left="1080"/>
        <w:jc w:val="both"/>
        <w:rPr>
          <w:rFonts w:ascii="Book Antiqua" w:hAnsi="Book Antiqua" w:cs="Times New Roman"/>
        </w:rPr>
      </w:pPr>
    </w:p>
    <w:p w14:paraId="2D1BFDCD" w14:textId="77777777" w:rsidR="00C72B4E" w:rsidRDefault="00865A75" w:rsidP="00C72B4E">
      <w:pPr>
        <w:pStyle w:val="ListParagraph"/>
        <w:spacing w:line="240" w:lineRule="auto"/>
        <w:ind w:left="0" w:firstLine="567"/>
        <w:jc w:val="both"/>
        <w:rPr>
          <w:rFonts w:ascii="Book Antiqua" w:hAnsi="Book Antiqua" w:cs="Times New Roman"/>
        </w:rPr>
      </w:pPr>
      <w:r w:rsidRPr="00865A75">
        <w:rPr>
          <w:rFonts w:ascii="Book Antiqua" w:hAnsi="Book Antiqua" w:cs="Times New Roman"/>
        </w:rPr>
        <w:t xml:space="preserve">The results show that PT </w:t>
      </w:r>
      <w:proofErr w:type="spellStart"/>
      <w:r w:rsidRPr="00865A75">
        <w:rPr>
          <w:rFonts w:ascii="Book Antiqua" w:hAnsi="Book Antiqua" w:cs="Times New Roman"/>
        </w:rPr>
        <w:t>Solusi</w:t>
      </w:r>
      <w:proofErr w:type="spellEnd"/>
      <w:r w:rsidRPr="00865A75">
        <w:rPr>
          <w:rFonts w:ascii="Book Antiqua" w:hAnsi="Book Antiqua" w:cs="Times New Roman"/>
        </w:rPr>
        <w:t xml:space="preserve"> Tunas </w:t>
      </w:r>
      <w:proofErr w:type="spellStart"/>
      <w:r w:rsidRPr="00865A75">
        <w:rPr>
          <w:rFonts w:ascii="Book Antiqua" w:hAnsi="Book Antiqua" w:cs="Times New Roman"/>
        </w:rPr>
        <w:t>Pratama</w:t>
      </w:r>
      <w:proofErr w:type="spellEnd"/>
      <w:r w:rsidRPr="00865A75">
        <w:rPr>
          <w:rFonts w:ascii="Book Antiqua" w:hAnsi="Book Antiqua" w:cs="Times New Roman"/>
        </w:rPr>
        <w:t xml:space="preserve"> </w:t>
      </w:r>
      <w:proofErr w:type="spellStart"/>
      <w:r w:rsidRPr="00865A75">
        <w:rPr>
          <w:rFonts w:ascii="Book Antiqua" w:hAnsi="Book Antiqua" w:cs="Times New Roman"/>
        </w:rPr>
        <w:t>Tbk's</w:t>
      </w:r>
      <w:proofErr w:type="spellEnd"/>
      <w:r w:rsidRPr="00865A75">
        <w:rPr>
          <w:rFonts w:ascii="Book Antiqua" w:hAnsi="Book Antiqua" w:cs="Times New Roman"/>
        </w:rPr>
        <w:t xml:space="preserve"> Debt to Asset Ratio (DAR) during the 2015–2024 period also experienced a decline in line with the DER, from 64.96% in 2015 to 31.68% in 2024. This decline indicates that most of the company's assets are now funded by equity rather than debt.</w:t>
      </w:r>
    </w:p>
    <w:p w14:paraId="55482A8F" w14:textId="77777777" w:rsidR="00C72B4E" w:rsidRDefault="00865A75" w:rsidP="00C72B4E">
      <w:pPr>
        <w:pStyle w:val="ListParagraph"/>
        <w:spacing w:line="240" w:lineRule="auto"/>
        <w:ind w:left="0" w:firstLine="567"/>
        <w:jc w:val="both"/>
        <w:rPr>
          <w:rFonts w:ascii="Book Antiqua" w:hAnsi="Book Antiqua" w:cs="Times New Roman"/>
        </w:rPr>
      </w:pPr>
      <w:r w:rsidRPr="00C72B4E">
        <w:rPr>
          <w:rFonts w:ascii="Book Antiqua" w:hAnsi="Book Antiqua" w:cs="Times New Roman"/>
        </w:rPr>
        <w:t xml:space="preserve">According to Hanafi and Halim (2018), a decrease in DAR indicates an increase in the company's solvency, which means that the company's ability to meet its long-term obligations has improved. In the case of PT </w:t>
      </w:r>
      <w:proofErr w:type="spellStart"/>
      <w:r w:rsidRPr="00C72B4E">
        <w:rPr>
          <w:rFonts w:ascii="Book Antiqua" w:hAnsi="Book Antiqua" w:cs="Times New Roman"/>
        </w:rPr>
        <w:t>Solusi</w:t>
      </w:r>
      <w:proofErr w:type="spellEnd"/>
      <w:r w:rsidRPr="00C72B4E">
        <w:rPr>
          <w:rFonts w:ascii="Book Antiqua" w:hAnsi="Book Antiqua" w:cs="Times New Roman"/>
        </w:rPr>
        <w:t xml:space="preserve"> Tunas </w:t>
      </w:r>
      <w:proofErr w:type="spellStart"/>
      <w:r w:rsidRPr="00C72B4E">
        <w:rPr>
          <w:rFonts w:ascii="Book Antiqua" w:hAnsi="Book Antiqua" w:cs="Times New Roman"/>
        </w:rPr>
        <w:t>Pratama</w:t>
      </w:r>
      <w:proofErr w:type="spellEnd"/>
      <w:r w:rsidRPr="00C72B4E">
        <w:rPr>
          <w:rFonts w:ascii="Book Antiqua" w:hAnsi="Book Antiqua" w:cs="Times New Roman"/>
        </w:rPr>
        <w:t xml:space="preserve"> </w:t>
      </w:r>
      <w:proofErr w:type="spellStart"/>
      <w:r w:rsidRPr="00C72B4E">
        <w:rPr>
          <w:rFonts w:ascii="Book Antiqua" w:hAnsi="Book Antiqua" w:cs="Times New Roman"/>
        </w:rPr>
        <w:t>Tbk</w:t>
      </w:r>
      <w:proofErr w:type="spellEnd"/>
      <w:r w:rsidRPr="00C72B4E">
        <w:rPr>
          <w:rFonts w:ascii="Book Antiqua" w:hAnsi="Book Antiqua" w:cs="Times New Roman"/>
        </w:rPr>
        <w:t>, this may reflect the company's strategy to reduce its debt burden and strengthen its internal financial position, especially after experiencing global economic pressure due to the COVID-19 pandemic.</w:t>
      </w:r>
    </w:p>
    <w:p w14:paraId="0E0FBFB8" w14:textId="441ADAC9" w:rsidR="00865A75" w:rsidRPr="00C72B4E" w:rsidRDefault="00865A75" w:rsidP="00C72B4E">
      <w:pPr>
        <w:pStyle w:val="ListParagraph"/>
        <w:spacing w:line="240" w:lineRule="auto"/>
        <w:ind w:left="0" w:firstLine="567"/>
        <w:jc w:val="both"/>
        <w:rPr>
          <w:rFonts w:ascii="Book Antiqua" w:hAnsi="Book Antiqua" w:cs="Times New Roman"/>
        </w:rPr>
      </w:pPr>
      <w:r w:rsidRPr="00C72B4E">
        <w:rPr>
          <w:rFonts w:ascii="Book Antiqua" w:hAnsi="Book Antiqua" w:cs="Times New Roman"/>
        </w:rPr>
        <w:lastRenderedPageBreak/>
        <w:t xml:space="preserve">With a lower DAR ratio, the company has a lower risk of bankruptcy and better financial resilience in facing market uncertainty. Therefore, PT </w:t>
      </w:r>
      <w:proofErr w:type="spellStart"/>
      <w:r w:rsidRPr="00C72B4E">
        <w:rPr>
          <w:rFonts w:ascii="Book Antiqua" w:hAnsi="Book Antiqua" w:cs="Times New Roman"/>
        </w:rPr>
        <w:t>Solusi</w:t>
      </w:r>
      <w:proofErr w:type="spellEnd"/>
      <w:r w:rsidRPr="00C72B4E">
        <w:rPr>
          <w:rFonts w:ascii="Book Antiqua" w:hAnsi="Book Antiqua" w:cs="Times New Roman"/>
        </w:rPr>
        <w:t xml:space="preserve"> Tunas </w:t>
      </w:r>
      <w:proofErr w:type="spellStart"/>
      <w:r w:rsidRPr="00C72B4E">
        <w:rPr>
          <w:rFonts w:ascii="Book Antiqua" w:hAnsi="Book Antiqua" w:cs="Times New Roman"/>
        </w:rPr>
        <w:t>Pratama</w:t>
      </w:r>
      <w:proofErr w:type="spellEnd"/>
      <w:r w:rsidRPr="00C72B4E">
        <w:rPr>
          <w:rFonts w:ascii="Book Antiqua" w:hAnsi="Book Antiqua" w:cs="Times New Roman"/>
        </w:rPr>
        <w:t xml:space="preserve"> </w:t>
      </w:r>
      <w:proofErr w:type="spellStart"/>
      <w:r w:rsidRPr="00C72B4E">
        <w:rPr>
          <w:rFonts w:ascii="Book Antiqua" w:hAnsi="Book Antiqua" w:cs="Times New Roman"/>
        </w:rPr>
        <w:t>Tbk</w:t>
      </w:r>
      <w:proofErr w:type="spellEnd"/>
      <w:r w:rsidRPr="00C72B4E">
        <w:rPr>
          <w:rFonts w:ascii="Book Antiqua" w:hAnsi="Book Antiqua" w:cs="Times New Roman"/>
        </w:rPr>
        <w:t xml:space="preserve"> can be categorized as having a stable and efficient capital structure, with a decreasing level of dependence on external funding.</w:t>
      </w:r>
    </w:p>
    <w:p w14:paraId="21E85926" w14:textId="77777777" w:rsidR="00865A75" w:rsidRDefault="00865A75" w:rsidP="00865A75">
      <w:pPr>
        <w:pStyle w:val="ListParagraph"/>
        <w:spacing w:line="240" w:lineRule="auto"/>
        <w:ind w:firstLine="360"/>
        <w:jc w:val="both"/>
        <w:rPr>
          <w:rFonts w:ascii="Book Antiqua" w:hAnsi="Book Antiqua" w:cs="Times New Roman"/>
        </w:rPr>
      </w:pPr>
    </w:p>
    <w:p w14:paraId="7908CEFD" w14:textId="77777777" w:rsidR="00865A75" w:rsidRDefault="00865A75" w:rsidP="00865A75">
      <w:pPr>
        <w:pStyle w:val="ListParagraph"/>
        <w:numPr>
          <w:ilvl w:val="0"/>
          <w:numId w:val="15"/>
        </w:numPr>
        <w:spacing w:line="240" w:lineRule="auto"/>
        <w:jc w:val="both"/>
        <w:rPr>
          <w:rFonts w:ascii="Book Antiqua" w:hAnsi="Book Antiqua" w:cs="Times New Roman"/>
          <w:b/>
          <w:bCs/>
        </w:rPr>
      </w:pPr>
      <w:r w:rsidRPr="00865A75">
        <w:rPr>
          <w:rFonts w:ascii="Book Antiqua" w:hAnsi="Book Antiqua" w:cs="Times New Roman"/>
          <w:b/>
          <w:bCs/>
        </w:rPr>
        <w:t>Profitability Ratio</w:t>
      </w:r>
    </w:p>
    <w:p w14:paraId="7906486A" w14:textId="102F672B" w:rsidR="00FA3A0E" w:rsidRPr="00865A75" w:rsidRDefault="00FA3A0E" w:rsidP="00865A75">
      <w:pPr>
        <w:pStyle w:val="ListParagraph"/>
        <w:numPr>
          <w:ilvl w:val="0"/>
          <w:numId w:val="19"/>
        </w:numPr>
        <w:spacing w:line="240" w:lineRule="auto"/>
        <w:jc w:val="both"/>
        <w:rPr>
          <w:rFonts w:ascii="Book Antiqua" w:hAnsi="Book Antiqua" w:cs="Times New Roman"/>
          <w:b/>
          <w:bCs/>
        </w:rPr>
      </w:pPr>
      <w:r w:rsidRPr="00865A75">
        <w:rPr>
          <w:rFonts w:ascii="Book Antiqua" w:hAnsi="Book Antiqua" w:cs="Times New Roman"/>
          <w:b/>
          <w:bCs/>
        </w:rPr>
        <w:t>Gross Profit Margin</w:t>
      </w:r>
    </w:p>
    <w:p w14:paraId="6D523BA8" w14:textId="6D7A8C88" w:rsidR="00FA3A0E" w:rsidRPr="00C72B4E" w:rsidRDefault="00865A75" w:rsidP="00C72B4E">
      <w:pPr>
        <w:pStyle w:val="ListParagraph"/>
        <w:spacing w:line="240" w:lineRule="auto"/>
        <w:ind w:left="1080"/>
        <w:jc w:val="center"/>
        <w:rPr>
          <w:rFonts w:ascii="Book Antiqua" w:hAnsi="Book Antiqua" w:cs="Times New Roman"/>
          <w:b/>
          <w:bCs/>
        </w:rPr>
      </w:pPr>
      <w:r w:rsidRPr="00865A75">
        <w:rPr>
          <w:rFonts w:ascii="Book Antiqua" w:hAnsi="Book Antiqua" w:cs="Times New Roman"/>
          <w:b/>
          <w:bCs/>
        </w:rPr>
        <w:t>Table 4.8</w:t>
      </w:r>
      <w:r w:rsidR="00C72B4E">
        <w:rPr>
          <w:rFonts w:ascii="Book Antiqua" w:hAnsi="Book Antiqua" w:cs="Times New Roman"/>
          <w:b/>
          <w:bCs/>
        </w:rPr>
        <w:t xml:space="preserve"> </w:t>
      </w:r>
      <w:r w:rsidRPr="00C72B4E">
        <w:rPr>
          <w:rFonts w:ascii="Book Antiqua" w:hAnsi="Book Antiqua" w:cs="Times New Roman"/>
          <w:b/>
          <w:bCs/>
        </w:rPr>
        <w:t>Gross Profit Margin Calculation Results for the 2015-2024 Period</w:t>
      </w:r>
      <w:r w:rsidR="00C72B4E">
        <w:rPr>
          <w:rFonts w:ascii="Book Antiqua" w:hAnsi="Book Antiqua" w:cs="Times New Roman"/>
          <w:b/>
          <w:bCs/>
        </w:rPr>
        <w:t xml:space="preserve"> </w:t>
      </w:r>
      <w:r w:rsidRPr="00C72B4E">
        <w:rPr>
          <w:rFonts w:ascii="Book Antiqua" w:hAnsi="Book Antiqua" w:cs="Times New Roman"/>
          <w:b/>
          <w:bCs/>
        </w:rPr>
        <w:t>(In Millions of Rupiah)</w:t>
      </w:r>
    </w:p>
    <w:p w14:paraId="38634122" w14:textId="70B56CBC" w:rsidR="00C15F22" w:rsidRPr="00561D13" w:rsidRDefault="00C15F22" w:rsidP="00865A75">
      <w:pPr>
        <w:pStyle w:val="ListParagraph"/>
        <w:spacing w:line="240" w:lineRule="auto"/>
        <w:ind w:left="1080"/>
        <w:jc w:val="center"/>
        <w:rPr>
          <w:rFonts w:ascii="Book Antiqua" w:hAnsi="Book Antiqua" w:cs="Times New Roman"/>
          <w:b/>
          <w:bCs/>
        </w:rPr>
      </w:pPr>
      <w:r w:rsidRPr="00C15F22">
        <w:rPr>
          <w:noProof/>
        </w:rPr>
        <w:drawing>
          <wp:inline distT="0" distB="0" distL="0" distR="0" wp14:anchorId="53D4DCEE" wp14:editId="69638258">
            <wp:extent cx="3359150" cy="1376532"/>
            <wp:effectExtent l="0" t="0" r="0" b="0"/>
            <wp:docPr id="1108609214"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74437" cy="1382796"/>
                    </a:xfrm>
                    <a:prstGeom prst="rect">
                      <a:avLst/>
                    </a:prstGeom>
                    <a:noFill/>
                    <a:ln>
                      <a:noFill/>
                    </a:ln>
                  </pic:spPr>
                </pic:pic>
              </a:graphicData>
            </a:graphic>
          </wp:inline>
        </w:drawing>
      </w:r>
    </w:p>
    <w:p w14:paraId="59C9C9F9" w14:textId="15A16E1A" w:rsidR="00FA3A0E" w:rsidRPr="00561D13" w:rsidRDefault="00485B26" w:rsidP="00DA1A16">
      <w:pPr>
        <w:pStyle w:val="ListParagraph"/>
        <w:spacing w:line="240" w:lineRule="auto"/>
        <w:ind w:left="1080"/>
        <w:jc w:val="both"/>
        <w:rPr>
          <w:rFonts w:ascii="Book Antiqua" w:hAnsi="Book Antiqua" w:cs="Times New Roman"/>
        </w:rPr>
      </w:pPr>
      <w:r w:rsidRPr="00485B26">
        <w:rPr>
          <w:rFonts w:ascii="Book Antiqua" w:hAnsi="Book Antiqua" w:cs="Times New Roman"/>
        </w:rPr>
        <w:t>Source: Processed Data</w:t>
      </w:r>
    </w:p>
    <w:p w14:paraId="2DFEC3B9" w14:textId="77777777" w:rsidR="00C72B4E" w:rsidRDefault="00C15F22" w:rsidP="00C72B4E">
      <w:pPr>
        <w:pStyle w:val="ListParagraph"/>
        <w:spacing w:line="240" w:lineRule="auto"/>
        <w:ind w:left="0" w:firstLine="567"/>
        <w:jc w:val="both"/>
        <w:rPr>
          <w:rFonts w:ascii="Book Antiqua" w:hAnsi="Book Antiqua" w:cs="Times New Roman"/>
        </w:rPr>
      </w:pPr>
      <w:r w:rsidRPr="00C15F22">
        <w:rPr>
          <w:rFonts w:ascii="Book Antiqua" w:hAnsi="Book Antiqua" w:cs="Times New Roman"/>
        </w:rPr>
        <w:t xml:space="preserve">Based on the calculations in Table 4.8, the Gross Profit Margin (GPM) of PT </w:t>
      </w:r>
      <w:proofErr w:type="spellStart"/>
      <w:r w:rsidRPr="00C15F22">
        <w:rPr>
          <w:rFonts w:ascii="Book Antiqua" w:hAnsi="Book Antiqua" w:cs="Times New Roman"/>
        </w:rPr>
        <w:t>Solusi</w:t>
      </w:r>
      <w:proofErr w:type="spellEnd"/>
      <w:r w:rsidRPr="00C15F22">
        <w:rPr>
          <w:rFonts w:ascii="Book Antiqua" w:hAnsi="Book Antiqua" w:cs="Times New Roman"/>
        </w:rPr>
        <w:t xml:space="preserve"> Tunas </w:t>
      </w:r>
      <w:proofErr w:type="spellStart"/>
      <w:r w:rsidRPr="00C15F22">
        <w:rPr>
          <w:rFonts w:ascii="Book Antiqua" w:hAnsi="Book Antiqua" w:cs="Times New Roman"/>
        </w:rPr>
        <w:t>Pratama</w:t>
      </w:r>
      <w:proofErr w:type="spellEnd"/>
      <w:r w:rsidRPr="00C15F22">
        <w:rPr>
          <w:rFonts w:ascii="Book Antiqua" w:hAnsi="Book Antiqua" w:cs="Times New Roman"/>
        </w:rPr>
        <w:t xml:space="preserve"> </w:t>
      </w:r>
      <w:proofErr w:type="spellStart"/>
      <w:r w:rsidRPr="00C15F22">
        <w:rPr>
          <w:rFonts w:ascii="Book Antiqua" w:hAnsi="Book Antiqua" w:cs="Times New Roman"/>
        </w:rPr>
        <w:t>Tbk</w:t>
      </w:r>
      <w:proofErr w:type="spellEnd"/>
      <w:r w:rsidRPr="00C15F22">
        <w:rPr>
          <w:rFonts w:ascii="Book Antiqua" w:hAnsi="Book Antiqua" w:cs="Times New Roman"/>
        </w:rPr>
        <w:t xml:space="preserve"> during the 2015–2024 period shows a fluctuating but relatively stable trend in the high range. The highest value was recorded in 2015 at 81.85%, while the lowest value occurred in 2024 at 73.95%. This decline indicates a slight increase in cost of revenue relative to total revenue, but in general, the company's gross profit margin remains high and reflects efficiency in controlling direct costs.</w:t>
      </w:r>
    </w:p>
    <w:p w14:paraId="1C4834E0" w14:textId="6D91ABD3" w:rsidR="00DB7CED" w:rsidRPr="00C72B4E" w:rsidRDefault="00C15F22" w:rsidP="00C72B4E">
      <w:pPr>
        <w:pStyle w:val="ListParagraph"/>
        <w:spacing w:line="240" w:lineRule="auto"/>
        <w:ind w:left="0" w:firstLine="567"/>
        <w:jc w:val="both"/>
        <w:rPr>
          <w:rFonts w:ascii="Book Antiqua" w:hAnsi="Book Antiqua" w:cs="Times New Roman"/>
        </w:rPr>
      </w:pPr>
      <w:r w:rsidRPr="00C72B4E">
        <w:rPr>
          <w:rFonts w:ascii="Book Antiqua" w:hAnsi="Book Antiqua" w:cs="Times New Roman"/>
        </w:rPr>
        <w:t xml:space="preserve">Overall, despite a slight decline in GPM at the end of the period, the company was still able to maintain competitive profit margins compared to industry standards. This demonstrates management's ability to reduce operating costs and maintain optimal efficiency. Thus, PT </w:t>
      </w:r>
      <w:proofErr w:type="spellStart"/>
      <w:r w:rsidRPr="00C72B4E">
        <w:rPr>
          <w:rFonts w:ascii="Book Antiqua" w:hAnsi="Book Antiqua" w:cs="Times New Roman"/>
        </w:rPr>
        <w:t>Solusi</w:t>
      </w:r>
      <w:proofErr w:type="spellEnd"/>
      <w:r w:rsidRPr="00C72B4E">
        <w:rPr>
          <w:rFonts w:ascii="Book Antiqua" w:hAnsi="Book Antiqua" w:cs="Times New Roman"/>
        </w:rPr>
        <w:t xml:space="preserve"> Tunas </w:t>
      </w:r>
      <w:proofErr w:type="spellStart"/>
      <w:r w:rsidRPr="00C72B4E">
        <w:rPr>
          <w:rFonts w:ascii="Book Antiqua" w:hAnsi="Book Antiqua" w:cs="Times New Roman"/>
        </w:rPr>
        <w:t>Pratama</w:t>
      </w:r>
      <w:proofErr w:type="spellEnd"/>
      <w:r w:rsidRPr="00C72B4E">
        <w:rPr>
          <w:rFonts w:ascii="Book Antiqua" w:hAnsi="Book Antiqua" w:cs="Times New Roman"/>
        </w:rPr>
        <w:t xml:space="preserve"> </w:t>
      </w:r>
      <w:proofErr w:type="spellStart"/>
      <w:r w:rsidRPr="00C72B4E">
        <w:rPr>
          <w:rFonts w:ascii="Book Antiqua" w:hAnsi="Book Antiqua" w:cs="Times New Roman"/>
        </w:rPr>
        <w:t>Tbk's</w:t>
      </w:r>
      <w:proofErr w:type="spellEnd"/>
      <w:r w:rsidRPr="00C72B4E">
        <w:rPr>
          <w:rFonts w:ascii="Book Antiqua" w:hAnsi="Book Antiqua" w:cs="Times New Roman"/>
        </w:rPr>
        <w:t xml:space="preserve"> gross profit performance can be categorized as good and sustainable, in line with the growth in demand for telecommunications infrastructure in Indonesia.</w:t>
      </w:r>
    </w:p>
    <w:p w14:paraId="3C7ADA38" w14:textId="77777777" w:rsidR="00C15F22" w:rsidRPr="00561D13" w:rsidRDefault="00C15F22" w:rsidP="00C15F22">
      <w:pPr>
        <w:pStyle w:val="ListParagraph"/>
        <w:spacing w:line="240" w:lineRule="auto"/>
        <w:ind w:left="1080" w:firstLine="360"/>
        <w:jc w:val="both"/>
        <w:rPr>
          <w:rFonts w:ascii="Book Antiqua" w:hAnsi="Book Antiqua" w:cs="Times New Roman"/>
        </w:rPr>
      </w:pPr>
    </w:p>
    <w:p w14:paraId="24CF1787" w14:textId="77777777" w:rsidR="00FA3A0E" w:rsidRPr="00561D13" w:rsidRDefault="00FA3A0E" w:rsidP="00865A75">
      <w:pPr>
        <w:pStyle w:val="ListParagraph"/>
        <w:numPr>
          <w:ilvl w:val="0"/>
          <w:numId w:val="19"/>
        </w:numPr>
        <w:spacing w:line="240" w:lineRule="auto"/>
        <w:jc w:val="both"/>
        <w:rPr>
          <w:rFonts w:ascii="Book Antiqua" w:hAnsi="Book Antiqua" w:cs="Times New Roman"/>
          <w:b/>
          <w:bCs/>
        </w:rPr>
      </w:pPr>
      <w:r w:rsidRPr="00561D13">
        <w:rPr>
          <w:rFonts w:ascii="Book Antiqua" w:hAnsi="Book Antiqua" w:cs="Times New Roman"/>
          <w:b/>
          <w:bCs/>
        </w:rPr>
        <w:t>Net Profit Margin</w:t>
      </w:r>
    </w:p>
    <w:p w14:paraId="2A792A3A" w14:textId="4C3689B3" w:rsidR="00DB7CED" w:rsidRPr="00C72B4E" w:rsidRDefault="00C15F22" w:rsidP="00C72B4E">
      <w:pPr>
        <w:pStyle w:val="ListParagraph"/>
        <w:spacing w:line="240" w:lineRule="auto"/>
        <w:ind w:left="1080"/>
        <w:jc w:val="center"/>
        <w:rPr>
          <w:rFonts w:ascii="Book Antiqua" w:hAnsi="Book Antiqua" w:cs="Times New Roman"/>
          <w:b/>
          <w:bCs/>
        </w:rPr>
      </w:pPr>
      <w:r w:rsidRPr="00C15F22">
        <w:rPr>
          <w:rFonts w:ascii="Book Antiqua" w:hAnsi="Book Antiqua" w:cs="Times New Roman"/>
          <w:b/>
          <w:bCs/>
        </w:rPr>
        <w:t>Table 4.9</w:t>
      </w:r>
      <w:r w:rsidR="00C72B4E">
        <w:rPr>
          <w:rFonts w:ascii="Book Antiqua" w:hAnsi="Book Antiqua" w:cs="Times New Roman"/>
          <w:b/>
          <w:bCs/>
        </w:rPr>
        <w:t xml:space="preserve"> </w:t>
      </w:r>
      <w:r w:rsidRPr="00C72B4E">
        <w:rPr>
          <w:rFonts w:ascii="Book Antiqua" w:hAnsi="Book Antiqua" w:cs="Times New Roman"/>
          <w:b/>
          <w:bCs/>
        </w:rPr>
        <w:t>Net Profit Margin Calculation Results for the 2015-2024 Period</w:t>
      </w:r>
      <w:r w:rsidR="00C72B4E">
        <w:rPr>
          <w:rFonts w:ascii="Book Antiqua" w:hAnsi="Book Antiqua" w:cs="Times New Roman"/>
          <w:b/>
          <w:bCs/>
        </w:rPr>
        <w:t xml:space="preserve"> </w:t>
      </w:r>
      <w:r w:rsidRPr="00C72B4E">
        <w:rPr>
          <w:rFonts w:ascii="Book Antiqua" w:hAnsi="Book Antiqua" w:cs="Times New Roman"/>
          <w:b/>
          <w:bCs/>
        </w:rPr>
        <w:t>(In Millions of Rupiah)</w:t>
      </w:r>
    </w:p>
    <w:p w14:paraId="4E37DBB4" w14:textId="04945B4B" w:rsidR="00C15F22" w:rsidRPr="00561D13" w:rsidRDefault="00C15F22" w:rsidP="00C15F22">
      <w:pPr>
        <w:pStyle w:val="ListParagraph"/>
        <w:spacing w:line="240" w:lineRule="auto"/>
        <w:ind w:left="1080"/>
        <w:jc w:val="center"/>
        <w:rPr>
          <w:rFonts w:ascii="Book Antiqua" w:hAnsi="Book Antiqua" w:cs="Times New Roman"/>
          <w:b/>
          <w:bCs/>
        </w:rPr>
      </w:pPr>
      <w:r w:rsidRPr="00C15F22">
        <w:rPr>
          <w:noProof/>
        </w:rPr>
        <w:drawing>
          <wp:inline distT="0" distB="0" distL="0" distR="0" wp14:anchorId="50FCC47C" wp14:editId="51F7D368">
            <wp:extent cx="3340576" cy="1339850"/>
            <wp:effectExtent l="0" t="0" r="0" b="0"/>
            <wp:docPr id="148618281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58444" cy="1347016"/>
                    </a:xfrm>
                    <a:prstGeom prst="rect">
                      <a:avLst/>
                    </a:prstGeom>
                    <a:noFill/>
                    <a:ln>
                      <a:noFill/>
                    </a:ln>
                  </pic:spPr>
                </pic:pic>
              </a:graphicData>
            </a:graphic>
          </wp:inline>
        </w:drawing>
      </w:r>
    </w:p>
    <w:p w14:paraId="02561E44" w14:textId="03C244D8" w:rsidR="00DB7CED" w:rsidRDefault="00485B26" w:rsidP="00DA1A16">
      <w:pPr>
        <w:pStyle w:val="ListParagraph"/>
        <w:spacing w:line="240" w:lineRule="auto"/>
        <w:ind w:left="1080"/>
        <w:jc w:val="both"/>
        <w:rPr>
          <w:rFonts w:ascii="Book Antiqua" w:hAnsi="Book Antiqua" w:cs="Times New Roman"/>
        </w:rPr>
      </w:pPr>
      <w:r w:rsidRPr="00485B26">
        <w:rPr>
          <w:rFonts w:ascii="Book Antiqua" w:hAnsi="Book Antiqua" w:cs="Times New Roman"/>
        </w:rPr>
        <w:t>Source: Processed Data</w:t>
      </w:r>
    </w:p>
    <w:p w14:paraId="5E92AB52" w14:textId="77777777" w:rsidR="00C15F22" w:rsidRPr="00561D13" w:rsidRDefault="00C15F22" w:rsidP="00DA1A16">
      <w:pPr>
        <w:pStyle w:val="ListParagraph"/>
        <w:spacing w:line="240" w:lineRule="auto"/>
        <w:ind w:left="1080"/>
        <w:jc w:val="both"/>
        <w:rPr>
          <w:rFonts w:ascii="Book Antiqua" w:hAnsi="Book Antiqua" w:cs="Times New Roman"/>
          <w:b/>
          <w:bCs/>
        </w:rPr>
      </w:pPr>
    </w:p>
    <w:p w14:paraId="249B5167" w14:textId="3BC460F8" w:rsidR="00DB7CED" w:rsidRPr="00561D13" w:rsidRDefault="00DB7CED" w:rsidP="00DA1A16">
      <w:pPr>
        <w:pStyle w:val="ListParagraph"/>
        <w:spacing w:line="240" w:lineRule="auto"/>
        <w:ind w:left="1080"/>
        <w:jc w:val="both"/>
        <w:rPr>
          <w:rFonts w:ascii="Book Antiqua" w:hAnsi="Book Antiqua" w:cs="Times New Roman"/>
          <w:b/>
          <w:bCs/>
        </w:rPr>
      </w:pPr>
    </w:p>
    <w:p w14:paraId="0319C933" w14:textId="77777777" w:rsidR="00C72B4E" w:rsidRDefault="00C15F22" w:rsidP="00C72B4E">
      <w:pPr>
        <w:pStyle w:val="ListParagraph"/>
        <w:spacing w:line="240" w:lineRule="auto"/>
        <w:ind w:left="0" w:firstLine="567"/>
        <w:jc w:val="both"/>
        <w:rPr>
          <w:rFonts w:ascii="Book Antiqua" w:hAnsi="Book Antiqua" w:cs="Times New Roman"/>
        </w:rPr>
      </w:pPr>
      <w:r w:rsidRPr="00C15F22">
        <w:rPr>
          <w:rFonts w:ascii="Book Antiqua" w:hAnsi="Book Antiqua" w:cs="Times New Roman"/>
        </w:rPr>
        <w:lastRenderedPageBreak/>
        <w:t xml:space="preserve">The results of the calculations in Table 4.9 show that the Net Profit Margin (NPM) of PT </w:t>
      </w:r>
      <w:proofErr w:type="spellStart"/>
      <w:r w:rsidRPr="00C15F22">
        <w:rPr>
          <w:rFonts w:ascii="Book Antiqua" w:hAnsi="Book Antiqua" w:cs="Times New Roman"/>
        </w:rPr>
        <w:t>Solusi</w:t>
      </w:r>
      <w:proofErr w:type="spellEnd"/>
      <w:r w:rsidRPr="00C15F22">
        <w:rPr>
          <w:rFonts w:ascii="Book Antiqua" w:hAnsi="Book Antiqua" w:cs="Times New Roman"/>
        </w:rPr>
        <w:t xml:space="preserve"> Tunas </w:t>
      </w:r>
      <w:proofErr w:type="spellStart"/>
      <w:r w:rsidRPr="00C15F22">
        <w:rPr>
          <w:rFonts w:ascii="Book Antiqua" w:hAnsi="Book Antiqua" w:cs="Times New Roman"/>
        </w:rPr>
        <w:t>Pratama</w:t>
      </w:r>
      <w:proofErr w:type="spellEnd"/>
      <w:r w:rsidRPr="00C15F22">
        <w:rPr>
          <w:rFonts w:ascii="Book Antiqua" w:hAnsi="Book Antiqua" w:cs="Times New Roman"/>
        </w:rPr>
        <w:t xml:space="preserve"> </w:t>
      </w:r>
      <w:proofErr w:type="spellStart"/>
      <w:r w:rsidRPr="00C15F22">
        <w:rPr>
          <w:rFonts w:ascii="Book Antiqua" w:hAnsi="Book Antiqua" w:cs="Times New Roman"/>
        </w:rPr>
        <w:t>Tbk</w:t>
      </w:r>
      <w:proofErr w:type="spellEnd"/>
      <w:r w:rsidRPr="00C15F22">
        <w:rPr>
          <w:rFonts w:ascii="Book Antiqua" w:hAnsi="Book Antiqua" w:cs="Times New Roman"/>
        </w:rPr>
        <w:t xml:space="preserve"> during the 2015–2024 period experienced a significant increase. The NPM value in 2015 was 7.66%, then gradually increased to 53.61% in 2024. This increase indicates the company's success in reducing operational costs and improving cost management efficiency.</w:t>
      </w:r>
    </w:p>
    <w:p w14:paraId="0FDF27AB" w14:textId="77777777" w:rsidR="00C72B4E" w:rsidRDefault="00C15F22" w:rsidP="00C72B4E">
      <w:pPr>
        <w:pStyle w:val="ListParagraph"/>
        <w:spacing w:line="240" w:lineRule="auto"/>
        <w:ind w:left="0" w:firstLine="567"/>
        <w:jc w:val="both"/>
        <w:rPr>
          <w:rFonts w:ascii="Book Antiqua" w:hAnsi="Book Antiqua" w:cs="Times New Roman"/>
        </w:rPr>
      </w:pPr>
      <w:r w:rsidRPr="00C72B4E">
        <w:rPr>
          <w:rFonts w:ascii="Book Antiqua" w:hAnsi="Book Antiqua" w:cs="Times New Roman"/>
        </w:rPr>
        <w:t xml:space="preserve">According to Kasmir (2018), the higher the NPM value, the better the company's ability to generate net profit from every rupiah of sales obtained. The significant increase during the research period indicates that PT </w:t>
      </w:r>
      <w:proofErr w:type="spellStart"/>
      <w:r w:rsidRPr="00C72B4E">
        <w:rPr>
          <w:rFonts w:ascii="Book Antiqua" w:hAnsi="Book Antiqua" w:cs="Times New Roman"/>
        </w:rPr>
        <w:t>Solusi</w:t>
      </w:r>
      <w:proofErr w:type="spellEnd"/>
      <w:r w:rsidRPr="00C72B4E">
        <w:rPr>
          <w:rFonts w:ascii="Book Antiqua" w:hAnsi="Book Antiqua" w:cs="Times New Roman"/>
        </w:rPr>
        <w:t xml:space="preserve"> Tunas </w:t>
      </w:r>
      <w:proofErr w:type="spellStart"/>
      <w:r w:rsidRPr="00C72B4E">
        <w:rPr>
          <w:rFonts w:ascii="Book Antiqua" w:hAnsi="Book Antiqua" w:cs="Times New Roman"/>
        </w:rPr>
        <w:t>Pratama</w:t>
      </w:r>
      <w:proofErr w:type="spellEnd"/>
      <w:r w:rsidRPr="00C72B4E">
        <w:rPr>
          <w:rFonts w:ascii="Book Antiqua" w:hAnsi="Book Antiqua" w:cs="Times New Roman"/>
        </w:rPr>
        <w:t xml:space="preserve"> </w:t>
      </w:r>
      <w:proofErr w:type="spellStart"/>
      <w:r w:rsidRPr="00C72B4E">
        <w:rPr>
          <w:rFonts w:ascii="Book Antiqua" w:hAnsi="Book Antiqua" w:cs="Times New Roman"/>
        </w:rPr>
        <w:t>Tbk</w:t>
      </w:r>
      <w:proofErr w:type="spellEnd"/>
      <w:r w:rsidRPr="00C72B4E">
        <w:rPr>
          <w:rFonts w:ascii="Book Antiqua" w:hAnsi="Book Antiqua" w:cs="Times New Roman"/>
        </w:rPr>
        <w:t xml:space="preserve"> has succeeded in effective cost management and increasing its net income through service diversification and asset optimization.</w:t>
      </w:r>
    </w:p>
    <w:p w14:paraId="621691A8" w14:textId="56EAFC55" w:rsidR="00DB7CED" w:rsidRPr="00C72B4E" w:rsidRDefault="00C15F22" w:rsidP="00C72B4E">
      <w:pPr>
        <w:pStyle w:val="ListParagraph"/>
        <w:spacing w:line="240" w:lineRule="auto"/>
        <w:ind w:left="0" w:firstLine="567"/>
        <w:jc w:val="both"/>
        <w:rPr>
          <w:rFonts w:ascii="Book Antiqua" w:hAnsi="Book Antiqua" w:cs="Times New Roman"/>
        </w:rPr>
      </w:pPr>
      <w:r w:rsidRPr="00C72B4E">
        <w:rPr>
          <w:rFonts w:ascii="Book Antiqua" w:hAnsi="Book Antiqua" w:cs="Times New Roman"/>
        </w:rPr>
        <w:t xml:space="preserve">In addition, the increase in NPM can also be attributed to financial restructuring and cost efficiency strategies during the post-pandemic recovery period. This demonstrates management's ability to adjust the cost structure to macroeconomic changes. Overall, PT </w:t>
      </w:r>
      <w:proofErr w:type="spellStart"/>
      <w:r w:rsidRPr="00C72B4E">
        <w:rPr>
          <w:rFonts w:ascii="Book Antiqua" w:hAnsi="Book Antiqua" w:cs="Times New Roman"/>
        </w:rPr>
        <w:t>Solusi</w:t>
      </w:r>
      <w:proofErr w:type="spellEnd"/>
      <w:r w:rsidRPr="00C72B4E">
        <w:rPr>
          <w:rFonts w:ascii="Book Antiqua" w:hAnsi="Book Antiqua" w:cs="Times New Roman"/>
        </w:rPr>
        <w:t xml:space="preserve"> Tunas </w:t>
      </w:r>
      <w:proofErr w:type="spellStart"/>
      <w:r w:rsidRPr="00C72B4E">
        <w:rPr>
          <w:rFonts w:ascii="Book Antiqua" w:hAnsi="Book Antiqua" w:cs="Times New Roman"/>
        </w:rPr>
        <w:t>Pratama</w:t>
      </w:r>
      <w:proofErr w:type="spellEnd"/>
      <w:r w:rsidRPr="00C72B4E">
        <w:rPr>
          <w:rFonts w:ascii="Book Antiqua" w:hAnsi="Book Antiqua" w:cs="Times New Roman"/>
        </w:rPr>
        <w:t xml:space="preserve"> </w:t>
      </w:r>
      <w:proofErr w:type="spellStart"/>
      <w:r w:rsidRPr="00C72B4E">
        <w:rPr>
          <w:rFonts w:ascii="Book Antiqua" w:hAnsi="Book Antiqua" w:cs="Times New Roman"/>
        </w:rPr>
        <w:t>Tbk's</w:t>
      </w:r>
      <w:proofErr w:type="spellEnd"/>
      <w:r w:rsidRPr="00C72B4E">
        <w:rPr>
          <w:rFonts w:ascii="Book Antiqua" w:hAnsi="Book Antiqua" w:cs="Times New Roman"/>
        </w:rPr>
        <w:t xml:space="preserve"> NPM value shows excellent performance, reflecting a significant increase in the company's profitability and placing it above the national telecommunications industry average.</w:t>
      </w:r>
    </w:p>
    <w:p w14:paraId="2211BFD3" w14:textId="77777777" w:rsidR="00C15F22" w:rsidRPr="00561D13" w:rsidRDefault="00C15F22" w:rsidP="00C15F22">
      <w:pPr>
        <w:pStyle w:val="ListParagraph"/>
        <w:spacing w:line="240" w:lineRule="auto"/>
        <w:ind w:left="1080" w:firstLine="360"/>
        <w:jc w:val="both"/>
        <w:rPr>
          <w:rFonts w:ascii="Book Antiqua" w:hAnsi="Book Antiqua" w:cs="Times New Roman"/>
          <w:b/>
          <w:bCs/>
        </w:rPr>
      </w:pPr>
    </w:p>
    <w:p w14:paraId="55DA74D6" w14:textId="77777777" w:rsidR="00FA3A0E" w:rsidRPr="00561D13" w:rsidRDefault="00FA3A0E" w:rsidP="00865A75">
      <w:pPr>
        <w:pStyle w:val="ListParagraph"/>
        <w:numPr>
          <w:ilvl w:val="0"/>
          <w:numId w:val="19"/>
        </w:numPr>
        <w:spacing w:line="240" w:lineRule="auto"/>
        <w:jc w:val="both"/>
        <w:rPr>
          <w:rFonts w:ascii="Book Antiqua" w:hAnsi="Book Antiqua" w:cs="Times New Roman"/>
          <w:b/>
          <w:bCs/>
        </w:rPr>
      </w:pPr>
      <w:r w:rsidRPr="00561D13">
        <w:rPr>
          <w:rFonts w:ascii="Book Antiqua" w:hAnsi="Book Antiqua" w:cs="Times New Roman"/>
          <w:b/>
          <w:bCs/>
        </w:rPr>
        <w:t>Return On Asset</w:t>
      </w:r>
    </w:p>
    <w:p w14:paraId="19E065EF" w14:textId="0D4D7C3E" w:rsidR="00DB7CED" w:rsidRPr="00C72B4E" w:rsidRDefault="00C15F22" w:rsidP="00C72B4E">
      <w:pPr>
        <w:pStyle w:val="ListParagraph"/>
        <w:spacing w:line="240" w:lineRule="auto"/>
        <w:ind w:left="1080"/>
        <w:jc w:val="center"/>
        <w:rPr>
          <w:rFonts w:ascii="Book Antiqua" w:hAnsi="Book Antiqua" w:cs="Times New Roman"/>
          <w:b/>
          <w:bCs/>
        </w:rPr>
      </w:pPr>
      <w:r w:rsidRPr="00C15F22">
        <w:rPr>
          <w:rFonts w:ascii="Book Antiqua" w:hAnsi="Book Antiqua" w:cs="Times New Roman"/>
          <w:b/>
          <w:bCs/>
        </w:rPr>
        <w:t>Table 4.10</w:t>
      </w:r>
      <w:r w:rsidR="00C72B4E">
        <w:rPr>
          <w:rFonts w:ascii="Book Antiqua" w:hAnsi="Book Antiqua" w:cs="Times New Roman"/>
          <w:b/>
          <w:bCs/>
        </w:rPr>
        <w:t xml:space="preserve"> </w:t>
      </w:r>
      <w:r w:rsidRPr="00C72B4E">
        <w:rPr>
          <w:rFonts w:ascii="Book Antiqua" w:hAnsi="Book Antiqua" w:cs="Times New Roman"/>
          <w:b/>
          <w:bCs/>
        </w:rPr>
        <w:t xml:space="preserve">Return on Asset Calculation Results for the 2015-2024 </w:t>
      </w:r>
      <w:proofErr w:type="gramStart"/>
      <w:r w:rsidRPr="00C72B4E">
        <w:rPr>
          <w:rFonts w:ascii="Book Antiqua" w:hAnsi="Book Antiqua" w:cs="Times New Roman"/>
          <w:b/>
          <w:bCs/>
        </w:rPr>
        <w:t>Period</w:t>
      </w:r>
      <w:r w:rsidR="00C72B4E">
        <w:rPr>
          <w:rFonts w:ascii="Book Antiqua" w:hAnsi="Book Antiqua" w:cs="Times New Roman"/>
          <w:b/>
          <w:bCs/>
        </w:rPr>
        <w:t xml:space="preserve">  </w:t>
      </w:r>
      <w:r w:rsidRPr="00C72B4E">
        <w:rPr>
          <w:rFonts w:ascii="Book Antiqua" w:hAnsi="Book Antiqua" w:cs="Times New Roman"/>
          <w:b/>
          <w:bCs/>
        </w:rPr>
        <w:t>(</w:t>
      </w:r>
      <w:proofErr w:type="gramEnd"/>
      <w:r w:rsidRPr="00C72B4E">
        <w:rPr>
          <w:rFonts w:ascii="Book Antiqua" w:hAnsi="Book Antiqua" w:cs="Times New Roman"/>
          <w:b/>
          <w:bCs/>
        </w:rPr>
        <w:t>In Millions of Rupiah)</w:t>
      </w:r>
    </w:p>
    <w:p w14:paraId="38C0D016" w14:textId="4D907E3E" w:rsidR="00C15F22" w:rsidRPr="00561D13" w:rsidRDefault="00C15F22" w:rsidP="00C15F22">
      <w:pPr>
        <w:pStyle w:val="ListParagraph"/>
        <w:spacing w:line="240" w:lineRule="auto"/>
        <w:ind w:left="1080"/>
        <w:jc w:val="center"/>
        <w:rPr>
          <w:rFonts w:ascii="Book Antiqua" w:hAnsi="Book Antiqua" w:cs="Times New Roman"/>
          <w:b/>
          <w:bCs/>
        </w:rPr>
      </w:pPr>
      <w:r w:rsidRPr="00C15F22">
        <w:rPr>
          <w:noProof/>
        </w:rPr>
        <w:drawing>
          <wp:inline distT="0" distB="0" distL="0" distR="0" wp14:anchorId="2EAFBAC7" wp14:editId="6CA82B3C">
            <wp:extent cx="3130550" cy="1257222"/>
            <wp:effectExtent l="0" t="0" r="0" b="635"/>
            <wp:docPr id="20772203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61052" cy="1269471"/>
                    </a:xfrm>
                    <a:prstGeom prst="rect">
                      <a:avLst/>
                    </a:prstGeom>
                    <a:noFill/>
                    <a:ln>
                      <a:noFill/>
                    </a:ln>
                  </pic:spPr>
                </pic:pic>
              </a:graphicData>
            </a:graphic>
          </wp:inline>
        </w:drawing>
      </w:r>
    </w:p>
    <w:p w14:paraId="1660F52A" w14:textId="0A76F8D2" w:rsidR="00C15F22" w:rsidRPr="00C72B4E" w:rsidRDefault="00485B26" w:rsidP="00C72B4E">
      <w:pPr>
        <w:pStyle w:val="ListParagraph"/>
        <w:spacing w:line="240" w:lineRule="auto"/>
        <w:ind w:left="1080"/>
        <w:jc w:val="both"/>
        <w:rPr>
          <w:rFonts w:ascii="Book Antiqua" w:hAnsi="Book Antiqua" w:cs="Times New Roman"/>
        </w:rPr>
      </w:pPr>
      <w:r w:rsidRPr="00485B26">
        <w:rPr>
          <w:rFonts w:ascii="Book Antiqua" w:hAnsi="Book Antiqua" w:cs="Times New Roman"/>
        </w:rPr>
        <w:t>Source: Processed Data</w:t>
      </w:r>
    </w:p>
    <w:p w14:paraId="6ADBF6EE" w14:textId="77777777" w:rsidR="00C72B4E" w:rsidRDefault="00C15F22" w:rsidP="00C72B4E">
      <w:pPr>
        <w:pStyle w:val="ListParagraph"/>
        <w:spacing w:line="240" w:lineRule="auto"/>
        <w:ind w:left="0" w:firstLine="567"/>
        <w:jc w:val="both"/>
        <w:rPr>
          <w:rFonts w:ascii="Book Antiqua" w:hAnsi="Book Antiqua" w:cs="Times New Roman"/>
        </w:rPr>
      </w:pPr>
      <w:r w:rsidRPr="00C15F22">
        <w:rPr>
          <w:rFonts w:ascii="Book Antiqua" w:hAnsi="Book Antiqua" w:cs="Times New Roman"/>
        </w:rPr>
        <w:t xml:space="preserve">Based on the calculations in Table 4.10, it is evident that PT </w:t>
      </w:r>
      <w:proofErr w:type="spellStart"/>
      <w:r w:rsidRPr="00C15F22">
        <w:rPr>
          <w:rFonts w:ascii="Book Antiqua" w:hAnsi="Book Antiqua" w:cs="Times New Roman"/>
        </w:rPr>
        <w:t>Solusi</w:t>
      </w:r>
      <w:proofErr w:type="spellEnd"/>
      <w:r w:rsidRPr="00C15F22">
        <w:rPr>
          <w:rFonts w:ascii="Book Antiqua" w:hAnsi="Book Antiqua" w:cs="Times New Roman"/>
        </w:rPr>
        <w:t xml:space="preserve"> Tunas </w:t>
      </w:r>
      <w:proofErr w:type="spellStart"/>
      <w:r w:rsidRPr="00C15F22">
        <w:rPr>
          <w:rFonts w:ascii="Book Antiqua" w:hAnsi="Book Antiqua" w:cs="Times New Roman"/>
        </w:rPr>
        <w:t>Pratama</w:t>
      </w:r>
      <w:proofErr w:type="spellEnd"/>
      <w:r w:rsidRPr="00C15F22">
        <w:rPr>
          <w:rFonts w:ascii="Book Antiqua" w:hAnsi="Book Antiqua" w:cs="Times New Roman"/>
        </w:rPr>
        <w:t xml:space="preserve"> </w:t>
      </w:r>
      <w:proofErr w:type="spellStart"/>
      <w:r w:rsidRPr="00C15F22">
        <w:rPr>
          <w:rFonts w:ascii="Book Antiqua" w:hAnsi="Book Antiqua" w:cs="Times New Roman"/>
        </w:rPr>
        <w:t>Tbk's</w:t>
      </w:r>
      <w:proofErr w:type="spellEnd"/>
      <w:r w:rsidRPr="00C15F22">
        <w:rPr>
          <w:rFonts w:ascii="Book Antiqua" w:hAnsi="Book Antiqua" w:cs="Times New Roman"/>
        </w:rPr>
        <w:t xml:space="preserve"> Return on Assets (ROA) during the 2015–2024 period experienced consistent positive growth. The lowest value was recorded in 2015 at 1.00%, while the highest value occurred in 2024 at 9.94%. This increase indicates that the company is increasingly effective in utilizing all of its assets to generate net profit.</w:t>
      </w:r>
    </w:p>
    <w:p w14:paraId="7DF235ED" w14:textId="77777777" w:rsidR="00C72B4E" w:rsidRDefault="00C15F22" w:rsidP="00C72B4E">
      <w:pPr>
        <w:pStyle w:val="ListParagraph"/>
        <w:spacing w:line="240" w:lineRule="auto"/>
        <w:ind w:left="0" w:firstLine="567"/>
        <w:jc w:val="both"/>
        <w:rPr>
          <w:rFonts w:ascii="Book Antiqua" w:hAnsi="Book Antiqua" w:cs="Times New Roman"/>
        </w:rPr>
      </w:pPr>
      <w:r w:rsidRPr="00C72B4E">
        <w:rPr>
          <w:rFonts w:ascii="Book Antiqua" w:hAnsi="Book Antiqua" w:cs="Times New Roman"/>
        </w:rPr>
        <w:t xml:space="preserve">According to Hanafi and Halim (2018), the ROA ratio is an indicator of a company's efficiency in using its resources to generate profits. The increase in PT </w:t>
      </w:r>
      <w:proofErr w:type="spellStart"/>
      <w:r w:rsidRPr="00C72B4E">
        <w:rPr>
          <w:rFonts w:ascii="Book Antiqua" w:hAnsi="Book Antiqua" w:cs="Times New Roman"/>
        </w:rPr>
        <w:t>Solusi</w:t>
      </w:r>
      <w:proofErr w:type="spellEnd"/>
      <w:r w:rsidRPr="00C72B4E">
        <w:rPr>
          <w:rFonts w:ascii="Book Antiqua" w:hAnsi="Book Antiqua" w:cs="Times New Roman"/>
        </w:rPr>
        <w:t xml:space="preserve"> Tunas </w:t>
      </w:r>
      <w:proofErr w:type="spellStart"/>
      <w:r w:rsidRPr="00C72B4E">
        <w:rPr>
          <w:rFonts w:ascii="Book Antiqua" w:hAnsi="Book Antiqua" w:cs="Times New Roman"/>
        </w:rPr>
        <w:t>Pratama</w:t>
      </w:r>
      <w:proofErr w:type="spellEnd"/>
      <w:r w:rsidRPr="00C72B4E">
        <w:rPr>
          <w:rFonts w:ascii="Book Antiqua" w:hAnsi="Book Antiqua" w:cs="Times New Roman"/>
        </w:rPr>
        <w:t xml:space="preserve"> </w:t>
      </w:r>
      <w:proofErr w:type="spellStart"/>
      <w:r w:rsidRPr="00C72B4E">
        <w:rPr>
          <w:rFonts w:ascii="Book Antiqua" w:hAnsi="Book Antiqua" w:cs="Times New Roman"/>
        </w:rPr>
        <w:t>Tbk's</w:t>
      </w:r>
      <w:proofErr w:type="spellEnd"/>
      <w:r w:rsidRPr="00C72B4E">
        <w:rPr>
          <w:rFonts w:ascii="Book Antiqua" w:hAnsi="Book Antiqua" w:cs="Times New Roman"/>
        </w:rPr>
        <w:t xml:space="preserve"> ROA during the research period reflects the management's ability to optimize the use of fixed assets such as towers and transmission equipment to increase revenue from telecommunications rentals and services.</w:t>
      </w:r>
    </w:p>
    <w:p w14:paraId="48C9F85A" w14:textId="1C943CEE" w:rsidR="00DB7CED" w:rsidRPr="00C72B4E" w:rsidRDefault="00C15F22" w:rsidP="00C72B4E">
      <w:pPr>
        <w:pStyle w:val="ListParagraph"/>
        <w:spacing w:line="240" w:lineRule="auto"/>
        <w:ind w:left="0" w:firstLine="567"/>
        <w:jc w:val="both"/>
        <w:rPr>
          <w:rFonts w:ascii="Book Antiqua" w:hAnsi="Book Antiqua" w:cs="Times New Roman"/>
        </w:rPr>
      </w:pPr>
      <w:r w:rsidRPr="00C72B4E">
        <w:rPr>
          <w:rFonts w:ascii="Book Antiqua" w:hAnsi="Book Antiqua" w:cs="Times New Roman"/>
        </w:rPr>
        <w:t xml:space="preserve">This increase in ROA also reflects the success of the company's strategy in maintaining operational efficiency and utilizing growth opportunities in the digital and data network sectors. Thus, PT </w:t>
      </w:r>
      <w:proofErr w:type="spellStart"/>
      <w:r w:rsidRPr="00C72B4E">
        <w:rPr>
          <w:rFonts w:ascii="Book Antiqua" w:hAnsi="Book Antiqua" w:cs="Times New Roman"/>
        </w:rPr>
        <w:t>Solusi</w:t>
      </w:r>
      <w:proofErr w:type="spellEnd"/>
      <w:r w:rsidRPr="00C72B4E">
        <w:rPr>
          <w:rFonts w:ascii="Book Antiqua" w:hAnsi="Book Antiqua" w:cs="Times New Roman"/>
        </w:rPr>
        <w:t xml:space="preserve"> Tunas </w:t>
      </w:r>
      <w:proofErr w:type="spellStart"/>
      <w:r w:rsidRPr="00C72B4E">
        <w:rPr>
          <w:rFonts w:ascii="Book Antiqua" w:hAnsi="Book Antiqua" w:cs="Times New Roman"/>
        </w:rPr>
        <w:t>Pratama</w:t>
      </w:r>
      <w:proofErr w:type="spellEnd"/>
      <w:r w:rsidRPr="00C72B4E">
        <w:rPr>
          <w:rFonts w:ascii="Book Antiqua" w:hAnsi="Book Antiqua" w:cs="Times New Roman"/>
        </w:rPr>
        <w:t xml:space="preserve"> </w:t>
      </w:r>
      <w:proofErr w:type="spellStart"/>
      <w:r w:rsidRPr="00C72B4E">
        <w:rPr>
          <w:rFonts w:ascii="Book Antiqua" w:hAnsi="Book Antiqua" w:cs="Times New Roman"/>
        </w:rPr>
        <w:t>Tbk</w:t>
      </w:r>
      <w:proofErr w:type="spellEnd"/>
      <w:r w:rsidRPr="00C72B4E">
        <w:rPr>
          <w:rFonts w:ascii="Book Antiqua" w:hAnsi="Book Antiqua" w:cs="Times New Roman"/>
        </w:rPr>
        <w:t xml:space="preserve"> can be categorized </w:t>
      </w:r>
      <w:r w:rsidRPr="00C72B4E">
        <w:rPr>
          <w:rFonts w:ascii="Book Antiqua" w:hAnsi="Book Antiqua" w:cs="Times New Roman"/>
        </w:rPr>
        <w:lastRenderedPageBreak/>
        <w:t>as a company with increasing asset efficiency, which has positive implications for long-term competitiveness in the Indonesian telecommunications industry.</w:t>
      </w:r>
    </w:p>
    <w:p w14:paraId="5785D47B" w14:textId="77777777" w:rsidR="00C15F22" w:rsidRPr="00561D13" w:rsidRDefault="00C15F22" w:rsidP="00C15F22">
      <w:pPr>
        <w:pStyle w:val="ListParagraph"/>
        <w:spacing w:line="240" w:lineRule="auto"/>
        <w:ind w:left="1080" w:firstLine="360"/>
        <w:jc w:val="both"/>
        <w:rPr>
          <w:rFonts w:ascii="Book Antiqua" w:hAnsi="Book Antiqua" w:cs="Times New Roman"/>
        </w:rPr>
      </w:pPr>
    </w:p>
    <w:p w14:paraId="5E04DC9E" w14:textId="04999926" w:rsidR="00C15F22" w:rsidRPr="00C15F22" w:rsidRDefault="00FA3A0E" w:rsidP="00C15F22">
      <w:pPr>
        <w:pStyle w:val="ListParagraph"/>
        <w:numPr>
          <w:ilvl w:val="0"/>
          <w:numId w:val="19"/>
        </w:numPr>
        <w:spacing w:line="240" w:lineRule="auto"/>
        <w:jc w:val="both"/>
        <w:rPr>
          <w:rFonts w:ascii="Book Antiqua" w:hAnsi="Book Antiqua" w:cs="Times New Roman"/>
          <w:b/>
          <w:bCs/>
        </w:rPr>
      </w:pPr>
      <w:r w:rsidRPr="00561D13">
        <w:rPr>
          <w:rFonts w:ascii="Book Antiqua" w:hAnsi="Book Antiqua" w:cs="Times New Roman"/>
          <w:b/>
          <w:bCs/>
        </w:rPr>
        <w:t>Return On Equity</w:t>
      </w:r>
    </w:p>
    <w:p w14:paraId="2921F86C" w14:textId="309554BA" w:rsidR="00DB7CED" w:rsidRPr="005B3877" w:rsidRDefault="00C15F22" w:rsidP="005B3877">
      <w:pPr>
        <w:pStyle w:val="ListParagraph"/>
        <w:spacing w:line="240" w:lineRule="auto"/>
        <w:ind w:left="1080"/>
        <w:jc w:val="center"/>
        <w:rPr>
          <w:rFonts w:ascii="Book Antiqua" w:hAnsi="Book Antiqua" w:cs="Times New Roman"/>
          <w:b/>
          <w:bCs/>
        </w:rPr>
      </w:pPr>
      <w:r w:rsidRPr="00C15F22">
        <w:rPr>
          <w:rFonts w:ascii="Book Antiqua" w:hAnsi="Book Antiqua" w:cs="Times New Roman"/>
          <w:b/>
          <w:bCs/>
        </w:rPr>
        <w:t>Table 4.11</w:t>
      </w:r>
      <w:r w:rsidR="005B3877">
        <w:rPr>
          <w:rFonts w:ascii="Book Antiqua" w:hAnsi="Book Antiqua" w:cs="Times New Roman"/>
          <w:b/>
          <w:bCs/>
        </w:rPr>
        <w:t xml:space="preserve"> </w:t>
      </w:r>
      <w:r w:rsidRPr="005B3877">
        <w:rPr>
          <w:rFonts w:ascii="Book Antiqua" w:hAnsi="Book Antiqua" w:cs="Times New Roman"/>
          <w:b/>
          <w:bCs/>
        </w:rPr>
        <w:t>Return on Equity Calculation Results for the 2015-2024 Period</w:t>
      </w:r>
      <w:r w:rsidR="005B3877">
        <w:rPr>
          <w:rFonts w:ascii="Book Antiqua" w:hAnsi="Book Antiqua" w:cs="Times New Roman"/>
          <w:b/>
          <w:bCs/>
        </w:rPr>
        <w:t xml:space="preserve"> </w:t>
      </w:r>
      <w:r w:rsidRPr="005B3877">
        <w:rPr>
          <w:rFonts w:ascii="Book Antiqua" w:hAnsi="Book Antiqua" w:cs="Times New Roman"/>
          <w:b/>
          <w:bCs/>
        </w:rPr>
        <w:t>(In Millions of Rupiah)</w:t>
      </w:r>
    </w:p>
    <w:p w14:paraId="1C603AB0" w14:textId="6B145427" w:rsidR="00C15F22" w:rsidRPr="00561D13" w:rsidRDefault="00C15F22" w:rsidP="00C15F22">
      <w:pPr>
        <w:pStyle w:val="ListParagraph"/>
        <w:spacing w:line="240" w:lineRule="auto"/>
        <w:ind w:left="1080"/>
        <w:jc w:val="center"/>
        <w:rPr>
          <w:rFonts w:ascii="Book Antiqua" w:hAnsi="Book Antiqua" w:cs="Times New Roman"/>
          <w:b/>
          <w:bCs/>
        </w:rPr>
      </w:pPr>
      <w:r w:rsidRPr="00C15F22">
        <w:rPr>
          <w:noProof/>
        </w:rPr>
        <w:drawing>
          <wp:inline distT="0" distB="0" distL="0" distR="0" wp14:anchorId="12561553" wp14:editId="617FFBC5">
            <wp:extent cx="3200400" cy="1296550"/>
            <wp:effectExtent l="0" t="0" r="0" b="0"/>
            <wp:docPr id="32545490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22266" cy="1305409"/>
                    </a:xfrm>
                    <a:prstGeom prst="rect">
                      <a:avLst/>
                    </a:prstGeom>
                    <a:noFill/>
                    <a:ln>
                      <a:noFill/>
                    </a:ln>
                  </pic:spPr>
                </pic:pic>
              </a:graphicData>
            </a:graphic>
          </wp:inline>
        </w:drawing>
      </w:r>
    </w:p>
    <w:p w14:paraId="21CA92C8" w14:textId="0A51A18D" w:rsidR="00DB7CED" w:rsidRPr="00561D13" w:rsidRDefault="00485B26" w:rsidP="00DA1A16">
      <w:pPr>
        <w:pStyle w:val="ListParagraph"/>
        <w:spacing w:line="240" w:lineRule="auto"/>
        <w:ind w:left="1080"/>
        <w:jc w:val="both"/>
        <w:rPr>
          <w:rFonts w:ascii="Book Antiqua" w:hAnsi="Book Antiqua" w:cs="Times New Roman"/>
        </w:rPr>
      </w:pPr>
      <w:r w:rsidRPr="00485B26">
        <w:rPr>
          <w:rFonts w:ascii="Book Antiqua" w:hAnsi="Book Antiqua" w:cs="Times New Roman"/>
        </w:rPr>
        <w:t>Source: Processed Data</w:t>
      </w:r>
    </w:p>
    <w:p w14:paraId="0AC8DCAE" w14:textId="77777777" w:rsidR="005B3877" w:rsidRDefault="00C15F22" w:rsidP="005B3877">
      <w:pPr>
        <w:spacing w:line="240" w:lineRule="auto"/>
        <w:ind w:firstLine="567"/>
        <w:jc w:val="both"/>
        <w:rPr>
          <w:rFonts w:ascii="Book Antiqua" w:hAnsi="Book Antiqua" w:cs="Times New Roman"/>
        </w:rPr>
      </w:pPr>
      <w:r w:rsidRPr="005B3877">
        <w:rPr>
          <w:rFonts w:ascii="Book Antiqua" w:hAnsi="Book Antiqua" w:cs="Times New Roman"/>
        </w:rPr>
        <w:t xml:space="preserve">The results of the calculations in Table 8 show that the Return on Equity (ROE) of PT </w:t>
      </w:r>
      <w:proofErr w:type="spellStart"/>
      <w:r w:rsidRPr="005B3877">
        <w:rPr>
          <w:rFonts w:ascii="Book Antiqua" w:hAnsi="Book Antiqua" w:cs="Times New Roman"/>
        </w:rPr>
        <w:t>Solusi</w:t>
      </w:r>
      <w:proofErr w:type="spellEnd"/>
      <w:r w:rsidRPr="005B3877">
        <w:rPr>
          <w:rFonts w:ascii="Book Antiqua" w:hAnsi="Book Antiqua" w:cs="Times New Roman"/>
        </w:rPr>
        <w:t xml:space="preserve"> Tunas </w:t>
      </w:r>
      <w:proofErr w:type="spellStart"/>
      <w:r w:rsidRPr="005B3877">
        <w:rPr>
          <w:rFonts w:ascii="Book Antiqua" w:hAnsi="Book Antiqua" w:cs="Times New Roman"/>
        </w:rPr>
        <w:t>Pratama</w:t>
      </w:r>
      <w:proofErr w:type="spellEnd"/>
      <w:r w:rsidRPr="005B3877">
        <w:rPr>
          <w:rFonts w:ascii="Book Antiqua" w:hAnsi="Book Antiqua" w:cs="Times New Roman"/>
        </w:rPr>
        <w:t xml:space="preserve"> </w:t>
      </w:r>
      <w:proofErr w:type="spellStart"/>
      <w:r w:rsidRPr="005B3877">
        <w:rPr>
          <w:rFonts w:ascii="Book Antiqua" w:hAnsi="Book Antiqua" w:cs="Times New Roman"/>
        </w:rPr>
        <w:t>Tbk</w:t>
      </w:r>
      <w:proofErr w:type="spellEnd"/>
      <w:r w:rsidRPr="005B3877">
        <w:rPr>
          <w:rFonts w:ascii="Book Antiqua" w:hAnsi="Book Antiqua" w:cs="Times New Roman"/>
        </w:rPr>
        <w:t xml:space="preserve"> during the 2015–2024 period fluctuated with a sharp upward trend in the last three years. The highest ROE value was recorded in 2024 at 51.44%, while the lowest value occurred in 2016 at 26.84%. The average ROE during the research period was 36%, still slightly below the industry standard of 40%. However, the significant increase after 2021 indicates a substantial improvement in profitability performance.</w:t>
      </w:r>
    </w:p>
    <w:p w14:paraId="3F95C20F" w14:textId="081223ED" w:rsidR="00C15F22" w:rsidRPr="005B3877" w:rsidRDefault="00C15F22" w:rsidP="005B3877">
      <w:pPr>
        <w:spacing w:line="240" w:lineRule="auto"/>
        <w:ind w:firstLine="567"/>
        <w:jc w:val="both"/>
        <w:rPr>
          <w:rFonts w:ascii="Book Antiqua" w:hAnsi="Book Antiqua" w:cs="Times New Roman"/>
        </w:rPr>
      </w:pPr>
      <w:r w:rsidRPr="005B3877">
        <w:rPr>
          <w:rFonts w:ascii="Book Antiqua" w:hAnsi="Book Antiqua" w:cs="Times New Roman"/>
        </w:rPr>
        <w:t xml:space="preserve">Although the early years were below industry standards, the upward trend in the 2022–2024 period indicates that the company is on a positive growth path. Thus, the ROE of PT </w:t>
      </w:r>
      <w:proofErr w:type="spellStart"/>
      <w:r w:rsidRPr="005B3877">
        <w:rPr>
          <w:rFonts w:ascii="Book Antiqua" w:hAnsi="Book Antiqua" w:cs="Times New Roman"/>
        </w:rPr>
        <w:t>Solusi</w:t>
      </w:r>
      <w:proofErr w:type="spellEnd"/>
      <w:r w:rsidRPr="005B3877">
        <w:rPr>
          <w:rFonts w:ascii="Book Antiqua" w:hAnsi="Book Antiqua" w:cs="Times New Roman"/>
        </w:rPr>
        <w:t xml:space="preserve"> Tunas </w:t>
      </w:r>
      <w:proofErr w:type="spellStart"/>
      <w:r w:rsidRPr="005B3877">
        <w:rPr>
          <w:rFonts w:ascii="Book Antiqua" w:hAnsi="Book Antiqua" w:cs="Times New Roman"/>
        </w:rPr>
        <w:t>Pratama</w:t>
      </w:r>
      <w:proofErr w:type="spellEnd"/>
      <w:r w:rsidRPr="005B3877">
        <w:rPr>
          <w:rFonts w:ascii="Book Antiqua" w:hAnsi="Book Antiqua" w:cs="Times New Roman"/>
        </w:rPr>
        <w:t xml:space="preserve"> </w:t>
      </w:r>
      <w:proofErr w:type="spellStart"/>
      <w:r w:rsidRPr="005B3877">
        <w:rPr>
          <w:rFonts w:ascii="Book Antiqua" w:hAnsi="Book Antiqua" w:cs="Times New Roman"/>
        </w:rPr>
        <w:t>Tbk</w:t>
      </w:r>
      <w:proofErr w:type="spellEnd"/>
      <w:r w:rsidRPr="005B3877">
        <w:rPr>
          <w:rFonts w:ascii="Book Antiqua" w:hAnsi="Book Antiqua" w:cs="Times New Roman"/>
        </w:rPr>
        <w:t xml:space="preserve"> can be categorized as quite healthy overall, indicating that management is able to improve shareholder welfare through efficient and sustainable financial policies.</w:t>
      </w:r>
    </w:p>
    <w:p w14:paraId="396320F5" w14:textId="3036C0F8" w:rsidR="00DA1A16" w:rsidRPr="00C15F22" w:rsidRDefault="00DA1A16" w:rsidP="00C15F22">
      <w:pPr>
        <w:spacing w:line="240" w:lineRule="auto"/>
        <w:jc w:val="both"/>
        <w:rPr>
          <w:rFonts w:ascii="Book Antiqua" w:hAnsi="Book Antiqua" w:cs="Times New Roman"/>
          <w:b/>
          <w:bCs/>
        </w:rPr>
      </w:pPr>
      <w:r w:rsidRPr="00C15F22">
        <w:rPr>
          <w:rFonts w:ascii="Book Antiqua" w:hAnsi="Book Antiqua" w:cs="Times New Roman"/>
          <w:b/>
          <w:bCs/>
        </w:rPr>
        <w:t>Conclusion</w:t>
      </w:r>
    </w:p>
    <w:p w14:paraId="29E11918" w14:textId="77777777" w:rsidR="005B3877" w:rsidRDefault="00C15F22" w:rsidP="005B3877">
      <w:pPr>
        <w:spacing w:line="240" w:lineRule="auto"/>
        <w:ind w:firstLine="567"/>
        <w:jc w:val="both"/>
        <w:rPr>
          <w:rFonts w:ascii="Book Antiqua" w:hAnsi="Book Antiqua" w:cs="Times New Roman"/>
        </w:rPr>
      </w:pPr>
      <w:r w:rsidRPr="00C15F22">
        <w:rPr>
          <w:rFonts w:ascii="Book Antiqua" w:hAnsi="Book Antiqua" w:cs="Times New Roman"/>
        </w:rPr>
        <w:t xml:space="preserve">Based on the results of financial ratio analysis covering liquidity, activity, solvency, and profitability ratios at PT </w:t>
      </w:r>
      <w:proofErr w:type="spellStart"/>
      <w:r w:rsidRPr="00C15F22">
        <w:rPr>
          <w:rFonts w:ascii="Book Antiqua" w:hAnsi="Book Antiqua" w:cs="Times New Roman"/>
        </w:rPr>
        <w:t>Solusi</w:t>
      </w:r>
      <w:proofErr w:type="spellEnd"/>
      <w:r w:rsidRPr="00C15F22">
        <w:rPr>
          <w:rFonts w:ascii="Book Antiqua" w:hAnsi="Book Antiqua" w:cs="Times New Roman"/>
        </w:rPr>
        <w:t xml:space="preserve"> Tunas </w:t>
      </w:r>
      <w:proofErr w:type="spellStart"/>
      <w:r w:rsidRPr="00C15F22">
        <w:rPr>
          <w:rFonts w:ascii="Book Antiqua" w:hAnsi="Book Antiqua" w:cs="Times New Roman"/>
        </w:rPr>
        <w:t>Pratama</w:t>
      </w:r>
      <w:proofErr w:type="spellEnd"/>
      <w:r w:rsidRPr="00C15F22">
        <w:rPr>
          <w:rFonts w:ascii="Book Antiqua" w:hAnsi="Book Antiqua" w:cs="Times New Roman"/>
        </w:rPr>
        <w:t xml:space="preserve"> </w:t>
      </w:r>
      <w:proofErr w:type="spellStart"/>
      <w:r w:rsidRPr="00C15F22">
        <w:rPr>
          <w:rFonts w:ascii="Book Antiqua" w:hAnsi="Book Antiqua" w:cs="Times New Roman"/>
        </w:rPr>
        <w:t>Tbk</w:t>
      </w:r>
      <w:proofErr w:type="spellEnd"/>
      <w:r w:rsidRPr="00C15F22">
        <w:rPr>
          <w:rFonts w:ascii="Book Antiqua" w:hAnsi="Book Antiqua" w:cs="Times New Roman"/>
        </w:rPr>
        <w:t xml:space="preserve"> during the 2015–2024 period, it can be concluded that the company's financial performance is generally stable and tends to improve at the end of the research period.</w:t>
      </w:r>
    </w:p>
    <w:p w14:paraId="13847CA3" w14:textId="77777777" w:rsidR="005B3877" w:rsidRDefault="00C15F22" w:rsidP="005B3877">
      <w:pPr>
        <w:spacing w:line="240" w:lineRule="auto"/>
        <w:ind w:firstLine="567"/>
        <w:jc w:val="both"/>
        <w:rPr>
          <w:rFonts w:ascii="Book Antiqua" w:hAnsi="Book Antiqua" w:cs="Times New Roman"/>
        </w:rPr>
      </w:pPr>
      <w:r w:rsidRPr="00C15F22">
        <w:rPr>
          <w:rFonts w:ascii="Book Antiqua" w:hAnsi="Book Antiqua" w:cs="Times New Roman"/>
        </w:rPr>
        <w:t>In terms of liquidity, the Current Ratio, Quick Ratio, and Cash Ratio indicate that the company is quite capable of meeting its short-term obligations, despite fluctuations in the early years. The increase in the liquidity ratio in the final period indicates better efficiency in the management of current assets and operating cash.</w:t>
      </w:r>
    </w:p>
    <w:p w14:paraId="7E07BF4F" w14:textId="77777777" w:rsidR="005B3877" w:rsidRDefault="00C15F22" w:rsidP="005B3877">
      <w:pPr>
        <w:spacing w:line="240" w:lineRule="auto"/>
        <w:ind w:firstLine="567"/>
        <w:jc w:val="both"/>
        <w:rPr>
          <w:rFonts w:ascii="Book Antiqua" w:hAnsi="Book Antiqua" w:cs="Times New Roman"/>
        </w:rPr>
      </w:pPr>
      <w:r w:rsidRPr="00C15F22">
        <w:rPr>
          <w:rFonts w:ascii="Book Antiqua" w:hAnsi="Book Antiqua" w:cs="Times New Roman"/>
        </w:rPr>
        <w:t>In terms of activity, the Total Asset Turnover and Fixed Asset Turnover ratios are still at a low level due to the capital-intensive nature of the industry, but show an upward trend in recent years. This indicates that the company is beginning to make more optimal use of its fixed assets to generate revenue, particularly through expansion and increased cooperation with major telecommunications operators in Indonesia.</w:t>
      </w:r>
    </w:p>
    <w:p w14:paraId="4E912155" w14:textId="77777777" w:rsidR="005B3877" w:rsidRDefault="00C15F22" w:rsidP="005B3877">
      <w:pPr>
        <w:spacing w:line="240" w:lineRule="auto"/>
        <w:ind w:firstLine="567"/>
        <w:jc w:val="both"/>
        <w:rPr>
          <w:rFonts w:ascii="Book Antiqua" w:hAnsi="Book Antiqua" w:cs="Times New Roman"/>
        </w:rPr>
      </w:pPr>
      <w:r w:rsidRPr="00C15F22">
        <w:rPr>
          <w:rFonts w:ascii="Book Antiqua" w:hAnsi="Book Antiqua" w:cs="Times New Roman"/>
        </w:rPr>
        <w:lastRenderedPageBreak/>
        <w:t>In terms of solvency, a significant decrease in the Debt to Equity Ratio (DER) and Debt to Asset Ratio (DAR) indicates an increase in financial independence. The company's capital structure is healthier and financial risk has decreased, demonstrating management's ability to maintain a balance between equity and debt</w:t>
      </w:r>
      <w:r>
        <w:rPr>
          <w:rFonts w:ascii="Book Antiqua" w:hAnsi="Book Antiqua" w:cs="Times New Roman"/>
        </w:rPr>
        <w:t>.</w:t>
      </w:r>
    </w:p>
    <w:p w14:paraId="1A63CB68" w14:textId="77777777" w:rsidR="005B3877" w:rsidRDefault="00C15F22" w:rsidP="005B3877">
      <w:pPr>
        <w:spacing w:line="240" w:lineRule="auto"/>
        <w:ind w:firstLine="567"/>
        <w:jc w:val="both"/>
        <w:rPr>
          <w:rFonts w:ascii="Book Antiqua" w:hAnsi="Book Antiqua" w:cs="Times New Roman"/>
        </w:rPr>
      </w:pPr>
      <w:r w:rsidRPr="00C15F22">
        <w:rPr>
          <w:rFonts w:ascii="Book Antiqua" w:hAnsi="Book Antiqua" w:cs="Times New Roman"/>
        </w:rPr>
        <w:t>Meanwhile, in terms of profitability, the Gross Profit Margin, Net Profit Margin, Return on Assets, and Return on Equity ratios showed consistent increases in the final period of the study. This condition reflects the management's success in controlling operating costs, increasing asset utilization efficiency, and strengthening the company's ability to generate profits.</w:t>
      </w:r>
    </w:p>
    <w:p w14:paraId="6E3AF4FF" w14:textId="33B74F23" w:rsidR="00C15F22" w:rsidRDefault="00C15F22" w:rsidP="005B3877">
      <w:pPr>
        <w:spacing w:line="240" w:lineRule="auto"/>
        <w:ind w:firstLine="567"/>
        <w:jc w:val="both"/>
        <w:rPr>
          <w:rFonts w:ascii="Book Antiqua" w:hAnsi="Book Antiqua" w:cs="Times New Roman"/>
        </w:rPr>
      </w:pPr>
      <w:r w:rsidRPr="00C15F22">
        <w:rPr>
          <w:rFonts w:ascii="Book Antiqua" w:hAnsi="Book Antiqua" w:cs="Times New Roman"/>
        </w:rPr>
        <w:t xml:space="preserve">Thus, the results of this study indicate that PT </w:t>
      </w:r>
      <w:proofErr w:type="spellStart"/>
      <w:r w:rsidRPr="00C15F22">
        <w:rPr>
          <w:rFonts w:ascii="Book Antiqua" w:hAnsi="Book Antiqua" w:cs="Times New Roman"/>
        </w:rPr>
        <w:t>Solusi</w:t>
      </w:r>
      <w:proofErr w:type="spellEnd"/>
      <w:r w:rsidRPr="00C15F22">
        <w:rPr>
          <w:rFonts w:ascii="Book Antiqua" w:hAnsi="Book Antiqua" w:cs="Times New Roman"/>
        </w:rPr>
        <w:t xml:space="preserve"> Tunas </w:t>
      </w:r>
      <w:proofErr w:type="spellStart"/>
      <w:r w:rsidRPr="00C15F22">
        <w:rPr>
          <w:rFonts w:ascii="Book Antiqua" w:hAnsi="Book Antiqua" w:cs="Times New Roman"/>
        </w:rPr>
        <w:t>Pratama</w:t>
      </w:r>
      <w:proofErr w:type="spellEnd"/>
      <w:r w:rsidRPr="00C15F22">
        <w:rPr>
          <w:rFonts w:ascii="Book Antiqua" w:hAnsi="Book Antiqua" w:cs="Times New Roman"/>
        </w:rPr>
        <w:t xml:space="preserve"> </w:t>
      </w:r>
      <w:proofErr w:type="spellStart"/>
      <w:r w:rsidRPr="00C15F22">
        <w:rPr>
          <w:rFonts w:ascii="Book Antiqua" w:hAnsi="Book Antiqua" w:cs="Times New Roman"/>
        </w:rPr>
        <w:t>Tbk</w:t>
      </w:r>
      <w:proofErr w:type="spellEnd"/>
      <w:r w:rsidRPr="00C15F22">
        <w:rPr>
          <w:rFonts w:ascii="Book Antiqua" w:hAnsi="Book Antiqua" w:cs="Times New Roman"/>
        </w:rPr>
        <w:t xml:space="preserve"> has fairly healthy and highly competitive financial performance, with a trend of profitability growth and continuous improvement in financial structure. This is a positive indicator for investors and stakeholders that the company is able to maintain its stability and profitability amid the dynamics of the competitive telecommunications industry.</w:t>
      </w:r>
    </w:p>
    <w:p w14:paraId="0EF26C97" w14:textId="5FFC544D" w:rsidR="00DA1A16" w:rsidRPr="00561D13" w:rsidRDefault="00DA1A16" w:rsidP="00C15F22">
      <w:pPr>
        <w:spacing w:line="240" w:lineRule="auto"/>
        <w:jc w:val="both"/>
        <w:rPr>
          <w:rFonts w:ascii="Book Antiqua" w:hAnsi="Book Antiqua" w:cs="Times New Roman"/>
          <w:b/>
          <w:bCs/>
        </w:rPr>
      </w:pPr>
      <w:r w:rsidRPr="00561D13">
        <w:rPr>
          <w:rFonts w:ascii="Book Antiqua" w:hAnsi="Book Antiqua" w:cs="Times New Roman"/>
          <w:b/>
          <w:bCs/>
        </w:rPr>
        <w:t>Acknowledgment</w:t>
      </w:r>
    </w:p>
    <w:p w14:paraId="6D312877" w14:textId="77777777" w:rsidR="005B3877" w:rsidRDefault="00C15F22" w:rsidP="005B3877">
      <w:pPr>
        <w:spacing w:line="240" w:lineRule="auto"/>
        <w:ind w:firstLine="567"/>
        <w:jc w:val="both"/>
        <w:rPr>
          <w:rFonts w:ascii="Book Antiqua" w:hAnsi="Book Antiqua" w:cs="Times New Roman"/>
        </w:rPr>
      </w:pPr>
      <w:r w:rsidRPr="00C15F22">
        <w:rPr>
          <w:rFonts w:ascii="Book Antiqua" w:hAnsi="Book Antiqua" w:cs="Times New Roman"/>
        </w:rPr>
        <w:t xml:space="preserve">The author would like to express his deepest gratitude to the Management Study Program, Faculty of Economics and Business, </w:t>
      </w:r>
      <w:proofErr w:type="spellStart"/>
      <w:r w:rsidRPr="00C15F22">
        <w:rPr>
          <w:rFonts w:ascii="Book Antiqua" w:hAnsi="Book Antiqua" w:cs="Times New Roman"/>
        </w:rPr>
        <w:t>Pamulang</w:t>
      </w:r>
      <w:proofErr w:type="spellEnd"/>
      <w:r w:rsidRPr="00C15F22">
        <w:rPr>
          <w:rFonts w:ascii="Book Antiqua" w:hAnsi="Book Antiqua" w:cs="Times New Roman"/>
        </w:rPr>
        <w:t xml:space="preserve"> University, for the support, guidance, and opportunities provided in conducting this research.</w:t>
      </w:r>
    </w:p>
    <w:p w14:paraId="0A45B8EF" w14:textId="77777777" w:rsidR="005B3877" w:rsidRDefault="00C15F22" w:rsidP="005B3877">
      <w:pPr>
        <w:spacing w:line="240" w:lineRule="auto"/>
        <w:ind w:firstLine="567"/>
        <w:jc w:val="both"/>
        <w:rPr>
          <w:rFonts w:ascii="Book Antiqua" w:hAnsi="Book Antiqua" w:cs="Times New Roman"/>
        </w:rPr>
      </w:pPr>
      <w:proofErr w:type="gramStart"/>
      <w:r w:rsidRPr="00C15F22">
        <w:rPr>
          <w:rFonts w:ascii="Book Antiqua" w:hAnsi="Book Antiqua" w:cs="Times New Roman"/>
        </w:rPr>
        <w:t>Thanks</w:t>
      </w:r>
      <w:proofErr w:type="gramEnd"/>
      <w:r w:rsidRPr="00C15F22">
        <w:rPr>
          <w:rFonts w:ascii="Book Antiqua" w:hAnsi="Book Antiqua" w:cs="Times New Roman"/>
        </w:rPr>
        <w:t xml:space="preserve"> are also extended to PT </w:t>
      </w:r>
      <w:proofErr w:type="spellStart"/>
      <w:r w:rsidRPr="00C15F22">
        <w:rPr>
          <w:rFonts w:ascii="Book Antiqua" w:hAnsi="Book Antiqua" w:cs="Times New Roman"/>
        </w:rPr>
        <w:t>Solusi</w:t>
      </w:r>
      <w:proofErr w:type="spellEnd"/>
      <w:r w:rsidRPr="00C15F22">
        <w:rPr>
          <w:rFonts w:ascii="Book Antiqua" w:hAnsi="Book Antiqua" w:cs="Times New Roman"/>
        </w:rPr>
        <w:t xml:space="preserve"> Tunas </w:t>
      </w:r>
      <w:proofErr w:type="spellStart"/>
      <w:r w:rsidRPr="00C15F22">
        <w:rPr>
          <w:rFonts w:ascii="Book Antiqua" w:hAnsi="Book Antiqua" w:cs="Times New Roman"/>
        </w:rPr>
        <w:t>Pratama</w:t>
      </w:r>
      <w:proofErr w:type="spellEnd"/>
      <w:r w:rsidRPr="00C15F22">
        <w:rPr>
          <w:rFonts w:ascii="Book Antiqua" w:hAnsi="Book Antiqua" w:cs="Times New Roman"/>
        </w:rPr>
        <w:t xml:space="preserve"> </w:t>
      </w:r>
      <w:proofErr w:type="spellStart"/>
      <w:r w:rsidRPr="00C15F22">
        <w:rPr>
          <w:rFonts w:ascii="Book Antiqua" w:hAnsi="Book Antiqua" w:cs="Times New Roman"/>
        </w:rPr>
        <w:t>Tbk</w:t>
      </w:r>
      <w:proofErr w:type="spellEnd"/>
      <w:r w:rsidRPr="00C15F22">
        <w:rPr>
          <w:rFonts w:ascii="Book Antiqua" w:hAnsi="Book Antiqua" w:cs="Times New Roman"/>
        </w:rPr>
        <w:t xml:space="preserve"> for providing the 2015–2024 annual financial reports, which formed the main basis for the analysis in this study. In addition, appreciation is given to the supervising lecturer, colleagues, and other parties who have provided input and motivation during the process of compiling this journal.</w:t>
      </w:r>
    </w:p>
    <w:p w14:paraId="026E3177" w14:textId="63DC0200" w:rsidR="00C15F22" w:rsidRDefault="00C15F22" w:rsidP="005B3877">
      <w:pPr>
        <w:spacing w:line="240" w:lineRule="auto"/>
        <w:ind w:firstLine="567"/>
        <w:jc w:val="both"/>
        <w:rPr>
          <w:rFonts w:ascii="Book Antiqua" w:hAnsi="Book Antiqua" w:cs="Times New Roman"/>
        </w:rPr>
      </w:pPr>
      <w:r w:rsidRPr="00C15F22">
        <w:rPr>
          <w:rFonts w:ascii="Book Antiqua" w:hAnsi="Book Antiqua" w:cs="Times New Roman"/>
        </w:rPr>
        <w:t>This research is expected to contribute to the development of literature in the field of financial performance analysis and corporate financial management, as well as to serve as a practical reference for similar companies in improving financial efficiency and competitiveness in the telecommunications sector.</w:t>
      </w:r>
    </w:p>
    <w:p w14:paraId="48318504" w14:textId="1ACE9671" w:rsidR="00DB7CED" w:rsidRPr="00561D13" w:rsidRDefault="00394191" w:rsidP="00C15F22">
      <w:pPr>
        <w:spacing w:line="240" w:lineRule="auto"/>
        <w:jc w:val="both"/>
        <w:rPr>
          <w:rFonts w:ascii="Book Antiqua" w:hAnsi="Book Antiqua" w:cs="Times New Roman"/>
          <w:b/>
          <w:bCs/>
        </w:rPr>
      </w:pPr>
      <w:r w:rsidRPr="00561D13">
        <w:rPr>
          <w:rFonts w:ascii="Book Antiqua" w:hAnsi="Book Antiqua" w:cs="Times New Roman"/>
          <w:b/>
          <w:bCs/>
        </w:rPr>
        <w:t>References</w:t>
      </w:r>
    </w:p>
    <w:p w14:paraId="48D4BD9C" w14:textId="77777777" w:rsidR="005B3877" w:rsidRDefault="00C15F22" w:rsidP="005B3877">
      <w:pPr>
        <w:spacing w:line="240" w:lineRule="auto"/>
        <w:ind w:left="567" w:hanging="567"/>
        <w:jc w:val="both"/>
        <w:rPr>
          <w:rFonts w:ascii="Book Antiqua" w:hAnsi="Book Antiqua" w:cs="Times New Roman"/>
        </w:rPr>
      </w:pPr>
      <w:r w:rsidRPr="00D94BCC">
        <w:rPr>
          <w:rFonts w:ascii="Book Antiqua" w:hAnsi="Book Antiqua" w:cs="Times New Roman"/>
        </w:rPr>
        <w:t>Brigham, E. F., &amp; Houston, J. F. (2019). Fundamentals of Financial Management (15th ed.). Cengage Learning.</w:t>
      </w:r>
    </w:p>
    <w:p w14:paraId="32C94E65" w14:textId="77777777" w:rsidR="005B3877" w:rsidRDefault="00C15F22" w:rsidP="005B3877">
      <w:pPr>
        <w:spacing w:line="240" w:lineRule="auto"/>
        <w:ind w:left="567" w:hanging="567"/>
        <w:jc w:val="both"/>
        <w:rPr>
          <w:rFonts w:ascii="Book Antiqua" w:hAnsi="Book Antiqua" w:cs="Times New Roman"/>
        </w:rPr>
      </w:pPr>
      <w:r w:rsidRPr="00D94BCC">
        <w:rPr>
          <w:rFonts w:ascii="Book Antiqua" w:hAnsi="Book Antiqua" w:cs="Times New Roman"/>
        </w:rPr>
        <w:t xml:space="preserve">Erica, D. (2018). Analisa </w:t>
      </w:r>
      <w:proofErr w:type="spellStart"/>
      <w:r w:rsidRPr="00D94BCC">
        <w:rPr>
          <w:rFonts w:ascii="Book Antiqua" w:hAnsi="Book Antiqua" w:cs="Times New Roman"/>
        </w:rPr>
        <w:t>Laporan</w:t>
      </w:r>
      <w:proofErr w:type="spellEnd"/>
      <w:r w:rsidRPr="00D94BCC">
        <w:rPr>
          <w:rFonts w:ascii="Book Antiqua" w:hAnsi="Book Antiqua" w:cs="Times New Roman"/>
        </w:rPr>
        <w:t xml:space="preserve"> </w:t>
      </w:r>
      <w:proofErr w:type="spellStart"/>
      <w:r w:rsidRPr="00D94BCC">
        <w:rPr>
          <w:rFonts w:ascii="Book Antiqua" w:hAnsi="Book Antiqua" w:cs="Times New Roman"/>
        </w:rPr>
        <w:t>Keuangan</w:t>
      </w:r>
      <w:proofErr w:type="spellEnd"/>
      <w:r w:rsidRPr="00D94BCC">
        <w:rPr>
          <w:rFonts w:ascii="Book Antiqua" w:hAnsi="Book Antiqua" w:cs="Times New Roman"/>
        </w:rPr>
        <w:t xml:space="preserve"> </w:t>
      </w:r>
      <w:proofErr w:type="spellStart"/>
      <w:r w:rsidRPr="00D94BCC">
        <w:rPr>
          <w:rFonts w:ascii="Book Antiqua" w:hAnsi="Book Antiqua" w:cs="Times New Roman"/>
        </w:rPr>
        <w:t>untuk</w:t>
      </w:r>
      <w:proofErr w:type="spellEnd"/>
      <w:r w:rsidRPr="00D94BCC">
        <w:rPr>
          <w:rFonts w:ascii="Book Antiqua" w:hAnsi="Book Antiqua" w:cs="Times New Roman"/>
        </w:rPr>
        <w:t xml:space="preserve"> </w:t>
      </w:r>
      <w:proofErr w:type="spellStart"/>
      <w:r w:rsidRPr="00D94BCC">
        <w:rPr>
          <w:rFonts w:ascii="Book Antiqua" w:hAnsi="Book Antiqua" w:cs="Times New Roman"/>
        </w:rPr>
        <w:t>Menilai</w:t>
      </w:r>
      <w:proofErr w:type="spellEnd"/>
      <w:r w:rsidRPr="00D94BCC">
        <w:rPr>
          <w:rFonts w:ascii="Book Antiqua" w:hAnsi="Book Antiqua" w:cs="Times New Roman"/>
        </w:rPr>
        <w:t xml:space="preserve"> </w:t>
      </w:r>
      <w:proofErr w:type="spellStart"/>
      <w:r w:rsidRPr="00D94BCC">
        <w:rPr>
          <w:rFonts w:ascii="Book Antiqua" w:hAnsi="Book Antiqua" w:cs="Times New Roman"/>
        </w:rPr>
        <w:t>Kinerja</w:t>
      </w:r>
      <w:proofErr w:type="spellEnd"/>
      <w:r w:rsidRPr="00D94BCC">
        <w:rPr>
          <w:rFonts w:ascii="Book Antiqua" w:hAnsi="Book Antiqua" w:cs="Times New Roman"/>
        </w:rPr>
        <w:t xml:space="preserve"> Perusahaan PT Kino Indonesia </w:t>
      </w:r>
      <w:proofErr w:type="spellStart"/>
      <w:r w:rsidRPr="00D94BCC">
        <w:rPr>
          <w:rFonts w:ascii="Book Antiqua" w:hAnsi="Book Antiqua" w:cs="Times New Roman"/>
        </w:rPr>
        <w:t>Tbk</w:t>
      </w:r>
      <w:proofErr w:type="spellEnd"/>
      <w:r w:rsidRPr="00D94BCC">
        <w:rPr>
          <w:rFonts w:ascii="Book Antiqua" w:hAnsi="Book Antiqua" w:cs="Times New Roman"/>
        </w:rPr>
        <w:t xml:space="preserve">. </w:t>
      </w:r>
      <w:proofErr w:type="spellStart"/>
      <w:r w:rsidRPr="00D94BCC">
        <w:rPr>
          <w:rFonts w:ascii="Book Antiqua" w:hAnsi="Book Antiqua" w:cs="Times New Roman"/>
        </w:rPr>
        <w:t>Jurnal</w:t>
      </w:r>
      <w:proofErr w:type="spellEnd"/>
      <w:r w:rsidRPr="00D94BCC">
        <w:rPr>
          <w:rFonts w:ascii="Book Antiqua" w:hAnsi="Book Antiqua" w:cs="Times New Roman"/>
        </w:rPr>
        <w:t xml:space="preserve"> </w:t>
      </w:r>
      <w:proofErr w:type="spellStart"/>
      <w:r w:rsidRPr="00D94BCC">
        <w:rPr>
          <w:rFonts w:ascii="Book Antiqua" w:hAnsi="Book Antiqua" w:cs="Times New Roman"/>
        </w:rPr>
        <w:t>Neraca</w:t>
      </w:r>
      <w:proofErr w:type="spellEnd"/>
      <w:r w:rsidRPr="00D94BCC">
        <w:rPr>
          <w:rFonts w:ascii="Book Antiqua" w:hAnsi="Book Antiqua" w:cs="Times New Roman"/>
        </w:rPr>
        <w:t>, 2(1), 1–15.</w:t>
      </w:r>
    </w:p>
    <w:p w14:paraId="7C1C1FF7" w14:textId="77777777" w:rsidR="005B3877" w:rsidRDefault="00C15F22" w:rsidP="005B3877">
      <w:pPr>
        <w:spacing w:line="240" w:lineRule="auto"/>
        <w:ind w:left="567" w:hanging="567"/>
        <w:jc w:val="both"/>
        <w:rPr>
          <w:rFonts w:ascii="Book Antiqua" w:hAnsi="Book Antiqua" w:cs="Times New Roman"/>
        </w:rPr>
      </w:pPr>
      <w:r w:rsidRPr="00D94BCC">
        <w:rPr>
          <w:rFonts w:ascii="Book Antiqua" w:hAnsi="Book Antiqua" w:cs="Times New Roman"/>
        </w:rPr>
        <w:t>Gitman, L. J., &amp; Zutter, C. J. (2015). Principles of Managerial Finance (14th ed.). Pearson Education.</w:t>
      </w:r>
    </w:p>
    <w:p w14:paraId="52DA1B78" w14:textId="77777777" w:rsidR="005B3877" w:rsidRDefault="00C15F22" w:rsidP="005B3877">
      <w:pPr>
        <w:spacing w:line="240" w:lineRule="auto"/>
        <w:ind w:left="567" w:hanging="567"/>
        <w:jc w:val="both"/>
        <w:rPr>
          <w:rFonts w:ascii="Book Antiqua" w:hAnsi="Book Antiqua" w:cs="Times New Roman"/>
        </w:rPr>
      </w:pPr>
      <w:r w:rsidRPr="00D94BCC">
        <w:rPr>
          <w:rFonts w:ascii="Book Antiqua" w:hAnsi="Book Antiqua" w:cs="Times New Roman"/>
        </w:rPr>
        <w:t xml:space="preserve">Hanafi, M. M., &amp; Halim, A. (2018). </w:t>
      </w:r>
      <w:proofErr w:type="spellStart"/>
      <w:r w:rsidRPr="00D94BCC">
        <w:rPr>
          <w:rFonts w:ascii="Book Antiqua" w:hAnsi="Book Antiqua" w:cs="Times New Roman"/>
        </w:rPr>
        <w:t>Analisis</w:t>
      </w:r>
      <w:proofErr w:type="spellEnd"/>
      <w:r w:rsidRPr="00D94BCC">
        <w:rPr>
          <w:rFonts w:ascii="Book Antiqua" w:hAnsi="Book Antiqua" w:cs="Times New Roman"/>
        </w:rPr>
        <w:t xml:space="preserve"> </w:t>
      </w:r>
      <w:proofErr w:type="spellStart"/>
      <w:r w:rsidRPr="00D94BCC">
        <w:rPr>
          <w:rFonts w:ascii="Book Antiqua" w:hAnsi="Book Antiqua" w:cs="Times New Roman"/>
        </w:rPr>
        <w:t>Laporan</w:t>
      </w:r>
      <w:proofErr w:type="spellEnd"/>
      <w:r w:rsidRPr="00D94BCC">
        <w:rPr>
          <w:rFonts w:ascii="Book Antiqua" w:hAnsi="Book Antiqua" w:cs="Times New Roman"/>
        </w:rPr>
        <w:t xml:space="preserve"> </w:t>
      </w:r>
      <w:proofErr w:type="spellStart"/>
      <w:r w:rsidRPr="00D94BCC">
        <w:rPr>
          <w:rFonts w:ascii="Book Antiqua" w:hAnsi="Book Antiqua" w:cs="Times New Roman"/>
        </w:rPr>
        <w:t>Keuangan</w:t>
      </w:r>
      <w:proofErr w:type="spellEnd"/>
      <w:r w:rsidRPr="00D94BCC">
        <w:rPr>
          <w:rFonts w:ascii="Book Antiqua" w:hAnsi="Book Antiqua" w:cs="Times New Roman"/>
        </w:rPr>
        <w:t xml:space="preserve"> (5th ed.). UPP STIM YKPN.</w:t>
      </w:r>
    </w:p>
    <w:p w14:paraId="4472E7C2" w14:textId="77777777" w:rsidR="005B3877" w:rsidRDefault="00C15F22" w:rsidP="005B3877">
      <w:pPr>
        <w:spacing w:line="240" w:lineRule="auto"/>
        <w:ind w:left="567" w:hanging="567"/>
        <w:jc w:val="both"/>
        <w:rPr>
          <w:rFonts w:ascii="Book Antiqua" w:hAnsi="Book Antiqua" w:cs="Times New Roman"/>
        </w:rPr>
      </w:pPr>
      <w:r w:rsidRPr="00D94BCC">
        <w:rPr>
          <w:rFonts w:ascii="Book Antiqua" w:hAnsi="Book Antiqua" w:cs="Times New Roman"/>
        </w:rPr>
        <w:lastRenderedPageBreak/>
        <w:t xml:space="preserve">Hery. (2017). </w:t>
      </w:r>
      <w:proofErr w:type="spellStart"/>
      <w:r w:rsidRPr="00D94BCC">
        <w:rPr>
          <w:rFonts w:ascii="Book Antiqua" w:hAnsi="Book Antiqua" w:cs="Times New Roman"/>
        </w:rPr>
        <w:t>Analisis</w:t>
      </w:r>
      <w:proofErr w:type="spellEnd"/>
      <w:r w:rsidRPr="00D94BCC">
        <w:rPr>
          <w:rFonts w:ascii="Book Antiqua" w:hAnsi="Book Antiqua" w:cs="Times New Roman"/>
        </w:rPr>
        <w:t xml:space="preserve"> </w:t>
      </w:r>
      <w:proofErr w:type="spellStart"/>
      <w:r w:rsidRPr="00D94BCC">
        <w:rPr>
          <w:rFonts w:ascii="Book Antiqua" w:hAnsi="Book Antiqua" w:cs="Times New Roman"/>
        </w:rPr>
        <w:t>Laporan</w:t>
      </w:r>
      <w:proofErr w:type="spellEnd"/>
      <w:r w:rsidRPr="00D94BCC">
        <w:rPr>
          <w:rFonts w:ascii="Book Antiqua" w:hAnsi="Book Antiqua" w:cs="Times New Roman"/>
        </w:rPr>
        <w:t xml:space="preserve"> </w:t>
      </w:r>
      <w:proofErr w:type="spellStart"/>
      <w:r w:rsidRPr="00D94BCC">
        <w:rPr>
          <w:rFonts w:ascii="Book Antiqua" w:hAnsi="Book Antiqua" w:cs="Times New Roman"/>
        </w:rPr>
        <w:t>Keuangan</w:t>
      </w:r>
      <w:proofErr w:type="spellEnd"/>
      <w:r w:rsidRPr="00D94BCC">
        <w:rPr>
          <w:rFonts w:ascii="Book Antiqua" w:hAnsi="Book Antiqua" w:cs="Times New Roman"/>
        </w:rPr>
        <w:t xml:space="preserve">: </w:t>
      </w:r>
      <w:proofErr w:type="spellStart"/>
      <w:r w:rsidRPr="00D94BCC">
        <w:rPr>
          <w:rFonts w:ascii="Book Antiqua" w:hAnsi="Book Antiqua" w:cs="Times New Roman"/>
        </w:rPr>
        <w:t>Pendekatan</w:t>
      </w:r>
      <w:proofErr w:type="spellEnd"/>
      <w:r w:rsidRPr="00D94BCC">
        <w:rPr>
          <w:rFonts w:ascii="Book Antiqua" w:hAnsi="Book Antiqua" w:cs="Times New Roman"/>
        </w:rPr>
        <w:t xml:space="preserve"> </w:t>
      </w:r>
      <w:proofErr w:type="spellStart"/>
      <w:r w:rsidRPr="00D94BCC">
        <w:rPr>
          <w:rFonts w:ascii="Book Antiqua" w:hAnsi="Book Antiqua" w:cs="Times New Roman"/>
        </w:rPr>
        <w:t>Rasio</w:t>
      </w:r>
      <w:proofErr w:type="spellEnd"/>
      <w:r w:rsidRPr="00D94BCC">
        <w:rPr>
          <w:rFonts w:ascii="Book Antiqua" w:hAnsi="Book Antiqua" w:cs="Times New Roman"/>
        </w:rPr>
        <w:t xml:space="preserve"> </w:t>
      </w:r>
      <w:proofErr w:type="spellStart"/>
      <w:r w:rsidRPr="00D94BCC">
        <w:rPr>
          <w:rFonts w:ascii="Book Antiqua" w:hAnsi="Book Antiqua" w:cs="Times New Roman"/>
        </w:rPr>
        <w:t>Keuangan</w:t>
      </w:r>
      <w:proofErr w:type="spellEnd"/>
      <w:r w:rsidRPr="00D94BCC">
        <w:rPr>
          <w:rFonts w:ascii="Book Antiqua" w:hAnsi="Book Antiqua" w:cs="Times New Roman"/>
        </w:rPr>
        <w:t xml:space="preserve">. Jakarta: </w:t>
      </w:r>
      <w:proofErr w:type="spellStart"/>
      <w:r w:rsidRPr="00D94BCC">
        <w:rPr>
          <w:rFonts w:ascii="Book Antiqua" w:hAnsi="Book Antiqua" w:cs="Times New Roman"/>
        </w:rPr>
        <w:t>Grasindo</w:t>
      </w:r>
      <w:proofErr w:type="spellEnd"/>
      <w:r w:rsidRPr="00D94BCC">
        <w:rPr>
          <w:rFonts w:ascii="Book Antiqua" w:hAnsi="Book Antiqua" w:cs="Times New Roman"/>
        </w:rPr>
        <w:t>.</w:t>
      </w:r>
    </w:p>
    <w:p w14:paraId="14927303" w14:textId="77777777" w:rsidR="005B3877" w:rsidRDefault="00C15F22" w:rsidP="005B3877">
      <w:pPr>
        <w:spacing w:line="240" w:lineRule="auto"/>
        <w:ind w:left="567" w:hanging="567"/>
        <w:jc w:val="both"/>
        <w:rPr>
          <w:rFonts w:ascii="Book Antiqua" w:hAnsi="Book Antiqua" w:cs="Times New Roman"/>
        </w:rPr>
      </w:pPr>
      <w:proofErr w:type="spellStart"/>
      <w:r w:rsidRPr="00D94BCC">
        <w:rPr>
          <w:rFonts w:ascii="Book Antiqua" w:hAnsi="Book Antiqua" w:cs="Times New Roman"/>
        </w:rPr>
        <w:t>Indrawan</w:t>
      </w:r>
      <w:proofErr w:type="spellEnd"/>
      <w:r w:rsidRPr="00D94BCC">
        <w:rPr>
          <w:rFonts w:ascii="Book Antiqua" w:hAnsi="Book Antiqua" w:cs="Times New Roman"/>
        </w:rPr>
        <w:t xml:space="preserve">, R., Van Rate, P., &amp; </w:t>
      </w:r>
      <w:proofErr w:type="spellStart"/>
      <w:r w:rsidRPr="00D94BCC">
        <w:rPr>
          <w:rFonts w:ascii="Book Antiqua" w:hAnsi="Book Antiqua" w:cs="Times New Roman"/>
        </w:rPr>
        <w:t>Untu</w:t>
      </w:r>
      <w:proofErr w:type="spellEnd"/>
      <w:r w:rsidRPr="00D94BCC">
        <w:rPr>
          <w:rFonts w:ascii="Book Antiqua" w:hAnsi="Book Antiqua" w:cs="Times New Roman"/>
        </w:rPr>
        <w:t xml:space="preserve">, V. N. (2022). </w:t>
      </w:r>
      <w:proofErr w:type="spellStart"/>
      <w:r w:rsidRPr="00D94BCC">
        <w:rPr>
          <w:rFonts w:ascii="Book Antiqua" w:hAnsi="Book Antiqua" w:cs="Times New Roman"/>
        </w:rPr>
        <w:t>Analisis</w:t>
      </w:r>
      <w:proofErr w:type="spellEnd"/>
      <w:r w:rsidRPr="00D94BCC">
        <w:rPr>
          <w:rFonts w:ascii="Book Antiqua" w:hAnsi="Book Antiqua" w:cs="Times New Roman"/>
        </w:rPr>
        <w:t xml:space="preserve"> </w:t>
      </w:r>
      <w:proofErr w:type="spellStart"/>
      <w:r w:rsidRPr="00D94BCC">
        <w:rPr>
          <w:rFonts w:ascii="Book Antiqua" w:hAnsi="Book Antiqua" w:cs="Times New Roman"/>
        </w:rPr>
        <w:t>Perbandingan</w:t>
      </w:r>
      <w:proofErr w:type="spellEnd"/>
      <w:r w:rsidRPr="00D94BCC">
        <w:rPr>
          <w:rFonts w:ascii="Book Antiqua" w:hAnsi="Book Antiqua" w:cs="Times New Roman"/>
        </w:rPr>
        <w:t xml:space="preserve"> </w:t>
      </w:r>
      <w:proofErr w:type="spellStart"/>
      <w:r w:rsidRPr="00D94BCC">
        <w:rPr>
          <w:rFonts w:ascii="Book Antiqua" w:hAnsi="Book Antiqua" w:cs="Times New Roman"/>
        </w:rPr>
        <w:t>Kinerja</w:t>
      </w:r>
      <w:proofErr w:type="spellEnd"/>
      <w:r w:rsidRPr="00D94BCC">
        <w:rPr>
          <w:rFonts w:ascii="Book Antiqua" w:hAnsi="Book Antiqua" w:cs="Times New Roman"/>
        </w:rPr>
        <w:t xml:space="preserve"> </w:t>
      </w:r>
      <w:proofErr w:type="spellStart"/>
      <w:r w:rsidRPr="00D94BCC">
        <w:rPr>
          <w:rFonts w:ascii="Book Antiqua" w:hAnsi="Book Antiqua" w:cs="Times New Roman"/>
        </w:rPr>
        <w:t>Keuangan</w:t>
      </w:r>
      <w:proofErr w:type="spellEnd"/>
      <w:r w:rsidRPr="00D94BCC">
        <w:rPr>
          <w:rFonts w:ascii="Book Antiqua" w:hAnsi="Book Antiqua" w:cs="Times New Roman"/>
        </w:rPr>
        <w:t xml:space="preserve"> Pada PT Astra </w:t>
      </w:r>
      <w:proofErr w:type="spellStart"/>
      <w:r w:rsidRPr="00D94BCC">
        <w:rPr>
          <w:rFonts w:ascii="Book Antiqua" w:hAnsi="Book Antiqua" w:cs="Times New Roman"/>
        </w:rPr>
        <w:t>Otoparts</w:t>
      </w:r>
      <w:proofErr w:type="spellEnd"/>
      <w:r w:rsidRPr="00D94BCC">
        <w:rPr>
          <w:rFonts w:ascii="Book Antiqua" w:hAnsi="Book Antiqua" w:cs="Times New Roman"/>
        </w:rPr>
        <w:t xml:space="preserve"> </w:t>
      </w:r>
      <w:proofErr w:type="spellStart"/>
      <w:r w:rsidRPr="00D94BCC">
        <w:rPr>
          <w:rFonts w:ascii="Book Antiqua" w:hAnsi="Book Antiqua" w:cs="Times New Roman"/>
        </w:rPr>
        <w:t>Tbk</w:t>
      </w:r>
      <w:proofErr w:type="spellEnd"/>
      <w:r w:rsidRPr="00D94BCC">
        <w:rPr>
          <w:rFonts w:ascii="Book Antiqua" w:hAnsi="Book Antiqua" w:cs="Times New Roman"/>
        </w:rPr>
        <w:t xml:space="preserve"> dan PT </w:t>
      </w:r>
      <w:proofErr w:type="spellStart"/>
      <w:r w:rsidRPr="00D94BCC">
        <w:rPr>
          <w:rFonts w:ascii="Book Antiqua" w:hAnsi="Book Antiqua" w:cs="Times New Roman"/>
        </w:rPr>
        <w:t>Selamat</w:t>
      </w:r>
      <w:proofErr w:type="spellEnd"/>
      <w:r w:rsidRPr="00D94BCC">
        <w:rPr>
          <w:rFonts w:ascii="Book Antiqua" w:hAnsi="Book Antiqua" w:cs="Times New Roman"/>
        </w:rPr>
        <w:t xml:space="preserve"> </w:t>
      </w:r>
      <w:proofErr w:type="spellStart"/>
      <w:r w:rsidRPr="00D94BCC">
        <w:rPr>
          <w:rFonts w:ascii="Book Antiqua" w:hAnsi="Book Antiqua" w:cs="Times New Roman"/>
        </w:rPr>
        <w:t>Sempurna</w:t>
      </w:r>
      <w:proofErr w:type="spellEnd"/>
      <w:r w:rsidRPr="00D94BCC">
        <w:rPr>
          <w:rFonts w:ascii="Book Antiqua" w:hAnsi="Book Antiqua" w:cs="Times New Roman"/>
        </w:rPr>
        <w:t xml:space="preserve"> </w:t>
      </w:r>
      <w:proofErr w:type="spellStart"/>
      <w:r w:rsidRPr="00D94BCC">
        <w:rPr>
          <w:rFonts w:ascii="Book Antiqua" w:hAnsi="Book Antiqua" w:cs="Times New Roman"/>
        </w:rPr>
        <w:t>Tbk</w:t>
      </w:r>
      <w:proofErr w:type="spellEnd"/>
      <w:r w:rsidRPr="00D94BCC">
        <w:rPr>
          <w:rFonts w:ascii="Book Antiqua" w:hAnsi="Book Antiqua" w:cs="Times New Roman"/>
        </w:rPr>
        <w:t xml:space="preserve"> </w:t>
      </w:r>
      <w:proofErr w:type="spellStart"/>
      <w:r w:rsidRPr="00D94BCC">
        <w:rPr>
          <w:rFonts w:ascii="Book Antiqua" w:hAnsi="Book Antiqua" w:cs="Times New Roman"/>
        </w:rPr>
        <w:t>Periode</w:t>
      </w:r>
      <w:proofErr w:type="spellEnd"/>
      <w:r w:rsidRPr="00D94BCC">
        <w:rPr>
          <w:rFonts w:ascii="Book Antiqua" w:hAnsi="Book Antiqua" w:cs="Times New Roman"/>
        </w:rPr>
        <w:t xml:space="preserve"> 2016–2020. </w:t>
      </w:r>
      <w:proofErr w:type="spellStart"/>
      <w:r w:rsidRPr="00D94BCC">
        <w:rPr>
          <w:rFonts w:ascii="Book Antiqua" w:hAnsi="Book Antiqua" w:cs="Times New Roman"/>
        </w:rPr>
        <w:t>Jurnal</w:t>
      </w:r>
      <w:proofErr w:type="spellEnd"/>
      <w:r w:rsidRPr="00D94BCC">
        <w:rPr>
          <w:rFonts w:ascii="Book Antiqua" w:hAnsi="Book Antiqua" w:cs="Times New Roman"/>
        </w:rPr>
        <w:t xml:space="preserve"> EMBA, 10(1), 1388–1398.</w:t>
      </w:r>
    </w:p>
    <w:p w14:paraId="3A6B906A" w14:textId="77777777" w:rsidR="005B3877" w:rsidRDefault="00C15F22" w:rsidP="005B3877">
      <w:pPr>
        <w:spacing w:line="240" w:lineRule="auto"/>
        <w:ind w:left="567" w:hanging="567"/>
        <w:jc w:val="both"/>
        <w:rPr>
          <w:rFonts w:ascii="Book Antiqua" w:hAnsi="Book Antiqua" w:cs="Times New Roman"/>
        </w:rPr>
      </w:pPr>
      <w:r w:rsidRPr="00D94BCC">
        <w:rPr>
          <w:rFonts w:ascii="Book Antiqua" w:hAnsi="Book Antiqua" w:cs="Times New Roman"/>
        </w:rPr>
        <w:t xml:space="preserve">Kasmir. (2018). </w:t>
      </w:r>
      <w:proofErr w:type="spellStart"/>
      <w:r w:rsidRPr="00D94BCC">
        <w:rPr>
          <w:rFonts w:ascii="Book Antiqua" w:hAnsi="Book Antiqua" w:cs="Times New Roman"/>
        </w:rPr>
        <w:t>Analisis</w:t>
      </w:r>
      <w:proofErr w:type="spellEnd"/>
      <w:r w:rsidRPr="00D94BCC">
        <w:rPr>
          <w:rFonts w:ascii="Book Antiqua" w:hAnsi="Book Antiqua" w:cs="Times New Roman"/>
        </w:rPr>
        <w:t xml:space="preserve"> </w:t>
      </w:r>
      <w:proofErr w:type="spellStart"/>
      <w:r w:rsidRPr="00D94BCC">
        <w:rPr>
          <w:rFonts w:ascii="Book Antiqua" w:hAnsi="Book Antiqua" w:cs="Times New Roman"/>
        </w:rPr>
        <w:t>Laporan</w:t>
      </w:r>
      <w:proofErr w:type="spellEnd"/>
      <w:r w:rsidRPr="00D94BCC">
        <w:rPr>
          <w:rFonts w:ascii="Book Antiqua" w:hAnsi="Book Antiqua" w:cs="Times New Roman"/>
        </w:rPr>
        <w:t xml:space="preserve"> </w:t>
      </w:r>
      <w:proofErr w:type="spellStart"/>
      <w:r w:rsidRPr="00D94BCC">
        <w:rPr>
          <w:rFonts w:ascii="Book Antiqua" w:hAnsi="Book Antiqua" w:cs="Times New Roman"/>
        </w:rPr>
        <w:t>Keuangan</w:t>
      </w:r>
      <w:proofErr w:type="spellEnd"/>
      <w:r w:rsidRPr="00D94BCC">
        <w:rPr>
          <w:rFonts w:ascii="Book Antiqua" w:hAnsi="Book Antiqua" w:cs="Times New Roman"/>
        </w:rPr>
        <w:t xml:space="preserve">. Jakarta: Raja </w:t>
      </w:r>
      <w:proofErr w:type="spellStart"/>
      <w:r w:rsidRPr="00D94BCC">
        <w:rPr>
          <w:rFonts w:ascii="Book Antiqua" w:hAnsi="Book Antiqua" w:cs="Times New Roman"/>
        </w:rPr>
        <w:t>Grafindo</w:t>
      </w:r>
      <w:proofErr w:type="spellEnd"/>
      <w:r w:rsidRPr="00D94BCC">
        <w:rPr>
          <w:rFonts w:ascii="Book Antiqua" w:hAnsi="Book Antiqua" w:cs="Times New Roman"/>
        </w:rPr>
        <w:t xml:space="preserve"> </w:t>
      </w:r>
      <w:proofErr w:type="spellStart"/>
      <w:r w:rsidRPr="00D94BCC">
        <w:rPr>
          <w:rFonts w:ascii="Book Antiqua" w:hAnsi="Book Antiqua" w:cs="Times New Roman"/>
        </w:rPr>
        <w:t>Persada</w:t>
      </w:r>
      <w:proofErr w:type="spellEnd"/>
      <w:r w:rsidRPr="00D94BCC">
        <w:rPr>
          <w:rFonts w:ascii="Book Antiqua" w:hAnsi="Book Antiqua" w:cs="Times New Roman"/>
        </w:rPr>
        <w:t>.</w:t>
      </w:r>
    </w:p>
    <w:p w14:paraId="43C8A706" w14:textId="77777777" w:rsidR="005B3877" w:rsidRDefault="00C15F22" w:rsidP="005B3877">
      <w:pPr>
        <w:spacing w:line="240" w:lineRule="auto"/>
        <w:ind w:left="567" w:hanging="567"/>
        <w:jc w:val="both"/>
        <w:rPr>
          <w:rFonts w:ascii="Book Antiqua" w:hAnsi="Book Antiqua" w:cs="Times New Roman"/>
        </w:rPr>
      </w:pPr>
      <w:r w:rsidRPr="00D94BCC">
        <w:rPr>
          <w:rFonts w:ascii="Book Antiqua" w:hAnsi="Book Antiqua" w:cs="Times New Roman"/>
        </w:rPr>
        <w:t xml:space="preserve">Khair, O. I. (2020). </w:t>
      </w:r>
      <w:proofErr w:type="spellStart"/>
      <w:r w:rsidRPr="00D94BCC">
        <w:rPr>
          <w:rFonts w:ascii="Book Antiqua" w:hAnsi="Book Antiqua" w:cs="Times New Roman"/>
        </w:rPr>
        <w:t>Analisis</w:t>
      </w:r>
      <w:proofErr w:type="spellEnd"/>
      <w:r w:rsidRPr="00D94BCC">
        <w:rPr>
          <w:rFonts w:ascii="Book Antiqua" w:hAnsi="Book Antiqua" w:cs="Times New Roman"/>
        </w:rPr>
        <w:t xml:space="preserve"> </w:t>
      </w:r>
      <w:proofErr w:type="spellStart"/>
      <w:r w:rsidRPr="00D94BCC">
        <w:rPr>
          <w:rFonts w:ascii="Book Antiqua" w:hAnsi="Book Antiqua" w:cs="Times New Roman"/>
        </w:rPr>
        <w:t>Rasio</w:t>
      </w:r>
      <w:proofErr w:type="spellEnd"/>
      <w:r w:rsidRPr="00D94BCC">
        <w:rPr>
          <w:rFonts w:ascii="Book Antiqua" w:hAnsi="Book Antiqua" w:cs="Times New Roman"/>
        </w:rPr>
        <w:t xml:space="preserve"> </w:t>
      </w:r>
      <w:proofErr w:type="spellStart"/>
      <w:r w:rsidRPr="00D94BCC">
        <w:rPr>
          <w:rFonts w:ascii="Book Antiqua" w:hAnsi="Book Antiqua" w:cs="Times New Roman"/>
        </w:rPr>
        <w:t>Likuiditas</w:t>
      </w:r>
      <w:proofErr w:type="spellEnd"/>
      <w:r w:rsidRPr="00D94BCC">
        <w:rPr>
          <w:rFonts w:ascii="Book Antiqua" w:hAnsi="Book Antiqua" w:cs="Times New Roman"/>
        </w:rPr>
        <w:t xml:space="preserve">, </w:t>
      </w:r>
      <w:proofErr w:type="spellStart"/>
      <w:r w:rsidRPr="00D94BCC">
        <w:rPr>
          <w:rFonts w:ascii="Book Antiqua" w:hAnsi="Book Antiqua" w:cs="Times New Roman"/>
        </w:rPr>
        <w:t>Rasio</w:t>
      </w:r>
      <w:proofErr w:type="spellEnd"/>
      <w:r w:rsidRPr="00D94BCC">
        <w:rPr>
          <w:rFonts w:ascii="Book Antiqua" w:hAnsi="Book Antiqua" w:cs="Times New Roman"/>
        </w:rPr>
        <w:t xml:space="preserve"> </w:t>
      </w:r>
      <w:proofErr w:type="spellStart"/>
      <w:r w:rsidRPr="00D94BCC">
        <w:rPr>
          <w:rFonts w:ascii="Book Antiqua" w:hAnsi="Book Antiqua" w:cs="Times New Roman"/>
        </w:rPr>
        <w:t>Aktivitas</w:t>
      </w:r>
      <w:proofErr w:type="spellEnd"/>
      <w:r w:rsidRPr="00D94BCC">
        <w:rPr>
          <w:rFonts w:ascii="Book Antiqua" w:hAnsi="Book Antiqua" w:cs="Times New Roman"/>
        </w:rPr>
        <w:t xml:space="preserve"> dan </w:t>
      </w:r>
      <w:proofErr w:type="spellStart"/>
      <w:r w:rsidRPr="00D94BCC">
        <w:rPr>
          <w:rFonts w:ascii="Book Antiqua" w:hAnsi="Book Antiqua" w:cs="Times New Roman"/>
        </w:rPr>
        <w:t>Rasio</w:t>
      </w:r>
      <w:proofErr w:type="spellEnd"/>
      <w:r w:rsidRPr="00D94BCC">
        <w:rPr>
          <w:rFonts w:ascii="Book Antiqua" w:hAnsi="Book Antiqua" w:cs="Times New Roman"/>
        </w:rPr>
        <w:t xml:space="preserve"> </w:t>
      </w:r>
      <w:proofErr w:type="spellStart"/>
      <w:r w:rsidRPr="00D94BCC">
        <w:rPr>
          <w:rFonts w:ascii="Book Antiqua" w:hAnsi="Book Antiqua" w:cs="Times New Roman"/>
        </w:rPr>
        <w:t>Profitabilitas</w:t>
      </w:r>
      <w:proofErr w:type="spellEnd"/>
      <w:r w:rsidRPr="00D94BCC">
        <w:rPr>
          <w:rFonts w:ascii="Book Antiqua" w:hAnsi="Book Antiqua" w:cs="Times New Roman"/>
        </w:rPr>
        <w:t xml:space="preserve"> </w:t>
      </w:r>
      <w:proofErr w:type="spellStart"/>
      <w:r w:rsidRPr="00D94BCC">
        <w:rPr>
          <w:rFonts w:ascii="Book Antiqua" w:hAnsi="Book Antiqua" w:cs="Times New Roman"/>
        </w:rPr>
        <w:t>untuk</w:t>
      </w:r>
      <w:proofErr w:type="spellEnd"/>
      <w:r w:rsidRPr="00D94BCC">
        <w:rPr>
          <w:rFonts w:ascii="Book Antiqua" w:hAnsi="Book Antiqua" w:cs="Times New Roman"/>
        </w:rPr>
        <w:t xml:space="preserve"> </w:t>
      </w:r>
      <w:proofErr w:type="spellStart"/>
      <w:r w:rsidRPr="00D94BCC">
        <w:rPr>
          <w:rFonts w:ascii="Book Antiqua" w:hAnsi="Book Antiqua" w:cs="Times New Roman"/>
        </w:rPr>
        <w:t>Menilai</w:t>
      </w:r>
      <w:proofErr w:type="spellEnd"/>
      <w:r w:rsidRPr="00D94BCC">
        <w:rPr>
          <w:rFonts w:ascii="Book Antiqua" w:hAnsi="Book Antiqua" w:cs="Times New Roman"/>
        </w:rPr>
        <w:t xml:space="preserve"> </w:t>
      </w:r>
      <w:proofErr w:type="spellStart"/>
      <w:r w:rsidRPr="00D94BCC">
        <w:rPr>
          <w:rFonts w:ascii="Book Antiqua" w:hAnsi="Book Antiqua" w:cs="Times New Roman"/>
        </w:rPr>
        <w:t>Kinerja</w:t>
      </w:r>
      <w:proofErr w:type="spellEnd"/>
      <w:r w:rsidRPr="00D94BCC">
        <w:rPr>
          <w:rFonts w:ascii="Book Antiqua" w:hAnsi="Book Antiqua" w:cs="Times New Roman"/>
        </w:rPr>
        <w:t xml:space="preserve"> </w:t>
      </w:r>
      <w:proofErr w:type="spellStart"/>
      <w:r w:rsidRPr="00D94BCC">
        <w:rPr>
          <w:rFonts w:ascii="Book Antiqua" w:hAnsi="Book Antiqua" w:cs="Times New Roman"/>
        </w:rPr>
        <w:t>Keuangan</w:t>
      </w:r>
      <w:proofErr w:type="spellEnd"/>
      <w:r w:rsidRPr="00D94BCC">
        <w:rPr>
          <w:rFonts w:ascii="Book Antiqua" w:hAnsi="Book Antiqua" w:cs="Times New Roman"/>
        </w:rPr>
        <w:t xml:space="preserve"> pada PT Astra </w:t>
      </w:r>
      <w:proofErr w:type="spellStart"/>
      <w:r w:rsidRPr="00D94BCC">
        <w:rPr>
          <w:rFonts w:ascii="Book Antiqua" w:hAnsi="Book Antiqua" w:cs="Times New Roman"/>
        </w:rPr>
        <w:t>Otoparts</w:t>
      </w:r>
      <w:proofErr w:type="spellEnd"/>
      <w:r w:rsidRPr="00D94BCC">
        <w:rPr>
          <w:rFonts w:ascii="Book Antiqua" w:hAnsi="Book Antiqua" w:cs="Times New Roman"/>
        </w:rPr>
        <w:t xml:space="preserve"> </w:t>
      </w:r>
      <w:proofErr w:type="spellStart"/>
      <w:r w:rsidRPr="00D94BCC">
        <w:rPr>
          <w:rFonts w:ascii="Book Antiqua" w:hAnsi="Book Antiqua" w:cs="Times New Roman"/>
        </w:rPr>
        <w:t>Tbk</w:t>
      </w:r>
      <w:proofErr w:type="spellEnd"/>
      <w:r w:rsidRPr="00D94BCC">
        <w:rPr>
          <w:rFonts w:ascii="Book Antiqua" w:hAnsi="Book Antiqua" w:cs="Times New Roman"/>
        </w:rPr>
        <w:t xml:space="preserve"> </w:t>
      </w:r>
      <w:proofErr w:type="spellStart"/>
      <w:r w:rsidRPr="00D94BCC">
        <w:rPr>
          <w:rFonts w:ascii="Book Antiqua" w:hAnsi="Book Antiqua" w:cs="Times New Roman"/>
        </w:rPr>
        <w:t>Periode</w:t>
      </w:r>
      <w:proofErr w:type="spellEnd"/>
      <w:r w:rsidRPr="00D94BCC">
        <w:rPr>
          <w:rFonts w:ascii="Book Antiqua" w:hAnsi="Book Antiqua" w:cs="Times New Roman"/>
        </w:rPr>
        <w:t xml:space="preserve"> 2008–2017. </w:t>
      </w:r>
      <w:proofErr w:type="spellStart"/>
      <w:r w:rsidRPr="00D94BCC">
        <w:rPr>
          <w:rFonts w:ascii="Book Antiqua" w:hAnsi="Book Antiqua" w:cs="Times New Roman"/>
        </w:rPr>
        <w:t>Jurnal</w:t>
      </w:r>
      <w:proofErr w:type="spellEnd"/>
      <w:r w:rsidRPr="00D94BCC">
        <w:rPr>
          <w:rFonts w:ascii="Book Antiqua" w:hAnsi="Book Antiqua" w:cs="Times New Roman"/>
        </w:rPr>
        <w:t xml:space="preserve"> </w:t>
      </w:r>
      <w:proofErr w:type="spellStart"/>
      <w:r w:rsidRPr="00D94BCC">
        <w:rPr>
          <w:rFonts w:ascii="Book Antiqua" w:hAnsi="Book Antiqua" w:cs="Times New Roman"/>
        </w:rPr>
        <w:t>Ilmiah</w:t>
      </w:r>
      <w:proofErr w:type="spellEnd"/>
      <w:r w:rsidRPr="00D94BCC">
        <w:rPr>
          <w:rFonts w:ascii="Book Antiqua" w:hAnsi="Book Antiqua" w:cs="Times New Roman"/>
        </w:rPr>
        <w:t xml:space="preserve"> Feasible, 2(2), 157–167.</w:t>
      </w:r>
    </w:p>
    <w:p w14:paraId="244E6A0D" w14:textId="77777777" w:rsidR="005B3877" w:rsidRDefault="00C15F22" w:rsidP="005B3877">
      <w:pPr>
        <w:spacing w:line="240" w:lineRule="auto"/>
        <w:ind w:left="567" w:hanging="567"/>
        <w:jc w:val="both"/>
        <w:rPr>
          <w:rFonts w:ascii="Book Antiqua" w:hAnsi="Book Antiqua" w:cs="Times New Roman"/>
        </w:rPr>
      </w:pPr>
      <w:r w:rsidRPr="00D94BCC">
        <w:rPr>
          <w:rFonts w:ascii="Book Antiqua" w:hAnsi="Book Antiqua" w:cs="Times New Roman"/>
        </w:rPr>
        <w:t xml:space="preserve">PT </w:t>
      </w:r>
      <w:proofErr w:type="spellStart"/>
      <w:r w:rsidRPr="00D94BCC">
        <w:rPr>
          <w:rFonts w:ascii="Book Antiqua" w:hAnsi="Book Antiqua" w:cs="Times New Roman"/>
        </w:rPr>
        <w:t>Solusi</w:t>
      </w:r>
      <w:proofErr w:type="spellEnd"/>
      <w:r w:rsidRPr="00D94BCC">
        <w:rPr>
          <w:rFonts w:ascii="Book Antiqua" w:hAnsi="Book Antiqua" w:cs="Times New Roman"/>
        </w:rPr>
        <w:t xml:space="preserve"> Tunas </w:t>
      </w:r>
      <w:proofErr w:type="spellStart"/>
      <w:r w:rsidRPr="00D94BCC">
        <w:rPr>
          <w:rFonts w:ascii="Book Antiqua" w:hAnsi="Book Antiqua" w:cs="Times New Roman"/>
        </w:rPr>
        <w:t>Pratama</w:t>
      </w:r>
      <w:proofErr w:type="spellEnd"/>
      <w:r w:rsidRPr="00D94BCC">
        <w:rPr>
          <w:rFonts w:ascii="Book Antiqua" w:hAnsi="Book Antiqua" w:cs="Times New Roman"/>
        </w:rPr>
        <w:t xml:space="preserve"> </w:t>
      </w:r>
      <w:proofErr w:type="spellStart"/>
      <w:r w:rsidRPr="00D94BCC">
        <w:rPr>
          <w:rFonts w:ascii="Book Antiqua" w:hAnsi="Book Antiqua" w:cs="Times New Roman"/>
        </w:rPr>
        <w:t>Tbk</w:t>
      </w:r>
      <w:proofErr w:type="spellEnd"/>
      <w:r w:rsidRPr="00D94BCC">
        <w:rPr>
          <w:rFonts w:ascii="Book Antiqua" w:hAnsi="Book Antiqua" w:cs="Times New Roman"/>
        </w:rPr>
        <w:t xml:space="preserve">. (2015–2024). Annual Reports. Retrieved from </w:t>
      </w:r>
      <w:hyperlink r:id="rId20" w:history="1">
        <w:r w:rsidRPr="00D94BCC">
          <w:rPr>
            <w:rStyle w:val="Hyperlink"/>
            <w:rFonts w:ascii="Book Antiqua" w:hAnsi="Book Antiqua" w:cs="Times New Roman"/>
            <w:color w:val="auto"/>
            <w:u w:val="none"/>
          </w:rPr>
          <w:t>https://www.stptower.com/annual-report</w:t>
        </w:r>
      </w:hyperlink>
    </w:p>
    <w:p w14:paraId="0EE29305" w14:textId="77777777" w:rsidR="005B3877" w:rsidRDefault="00C15F22" w:rsidP="005B3877">
      <w:pPr>
        <w:spacing w:line="240" w:lineRule="auto"/>
        <w:ind w:left="567" w:hanging="567"/>
        <w:jc w:val="both"/>
        <w:rPr>
          <w:rFonts w:ascii="Book Antiqua" w:hAnsi="Book Antiqua" w:cs="Times New Roman"/>
        </w:rPr>
      </w:pPr>
      <w:r w:rsidRPr="00D94BCC">
        <w:rPr>
          <w:rFonts w:ascii="Book Antiqua" w:hAnsi="Book Antiqua" w:cs="Times New Roman"/>
        </w:rPr>
        <w:t xml:space="preserve">Rahmawati, T., &amp; </w:t>
      </w:r>
      <w:proofErr w:type="spellStart"/>
      <w:r w:rsidRPr="00D94BCC">
        <w:rPr>
          <w:rFonts w:ascii="Book Antiqua" w:hAnsi="Book Antiqua" w:cs="Times New Roman"/>
        </w:rPr>
        <w:t>Sulistiyo</w:t>
      </w:r>
      <w:proofErr w:type="spellEnd"/>
      <w:r w:rsidRPr="00D94BCC">
        <w:rPr>
          <w:rFonts w:ascii="Book Antiqua" w:hAnsi="Book Antiqua" w:cs="Times New Roman"/>
        </w:rPr>
        <w:t xml:space="preserve">, H. (2022). </w:t>
      </w:r>
      <w:proofErr w:type="spellStart"/>
      <w:r w:rsidRPr="00D94BCC">
        <w:rPr>
          <w:rFonts w:ascii="Book Antiqua" w:hAnsi="Book Antiqua" w:cs="Times New Roman"/>
        </w:rPr>
        <w:t>Analisis</w:t>
      </w:r>
      <w:proofErr w:type="spellEnd"/>
      <w:r w:rsidRPr="00D94BCC">
        <w:rPr>
          <w:rFonts w:ascii="Book Antiqua" w:hAnsi="Book Antiqua" w:cs="Times New Roman"/>
        </w:rPr>
        <w:t xml:space="preserve"> </w:t>
      </w:r>
      <w:proofErr w:type="spellStart"/>
      <w:r w:rsidRPr="00D94BCC">
        <w:rPr>
          <w:rFonts w:ascii="Book Antiqua" w:hAnsi="Book Antiqua" w:cs="Times New Roman"/>
        </w:rPr>
        <w:t>Kinerja</w:t>
      </w:r>
      <w:proofErr w:type="spellEnd"/>
      <w:r w:rsidRPr="00D94BCC">
        <w:rPr>
          <w:rFonts w:ascii="Book Antiqua" w:hAnsi="Book Antiqua" w:cs="Times New Roman"/>
        </w:rPr>
        <w:t xml:space="preserve"> </w:t>
      </w:r>
      <w:proofErr w:type="spellStart"/>
      <w:r w:rsidRPr="00D94BCC">
        <w:rPr>
          <w:rFonts w:ascii="Book Antiqua" w:hAnsi="Book Antiqua" w:cs="Times New Roman"/>
        </w:rPr>
        <w:t>Keuangan</w:t>
      </w:r>
      <w:proofErr w:type="spellEnd"/>
      <w:r w:rsidRPr="00D94BCC">
        <w:rPr>
          <w:rFonts w:ascii="Book Antiqua" w:hAnsi="Book Antiqua" w:cs="Times New Roman"/>
        </w:rPr>
        <w:t xml:space="preserve"> pada PT Astra </w:t>
      </w:r>
      <w:proofErr w:type="spellStart"/>
      <w:r w:rsidRPr="00D94BCC">
        <w:rPr>
          <w:rFonts w:ascii="Book Antiqua" w:hAnsi="Book Antiqua" w:cs="Times New Roman"/>
        </w:rPr>
        <w:t>Otoparts</w:t>
      </w:r>
      <w:proofErr w:type="spellEnd"/>
      <w:r w:rsidRPr="00D94BCC">
        <w:rPr>
          <w:rFonts w:ascii="Book Antiqua" w:hAnsi="Book Antiqua" w:cs="Times New Roman"/>
        </w:rPr>
        <w:t xml:space="preserve"> </w:t>
      </w:r>
      <w:proofErr w:type="spellStart"/>
      <w:r w:rsidRPr="00D94BCC">
        <w:rPr>
          <w:rFonts w:ascii="Book Antiqua" w:hAnsi="Book Antiqua" w:cs="Times New Roman"/>
        </w:rPr>
        <w:t>Tbk</w:t>
      </w:r>
      <w:proofErr w:type="spellEnd"/>
      <w:r w:rsidRPr="00D94BCC">
        <w:rPr>
          <w:rFonts w:ascii="Book Antiqua" w:hAnsi="Book Antiqua" w:cs="Times New Roman"/>
        </w:rPr>
        <w:t xml:space="preserve"> </w:t>
      </w:r>
      <w:proofErr w:type="spellStart"/>
      <w:r w:rsidRPr="00D94BCC">
        <w:rPr>
          <w:rFonts w:ascii="Book Antiqua" w:hAnsi="Book Antiqua" w:cs="Times New Roman"/>
        </w:rPr>
        <w:t>Tahun</w:t>
      </w:r>
      <w:proofErr w:type="spellEnd"/>
      <w:r w:rsidRPr="00D94BCC">
        <w:rPr>
          <w:rFonts w:ascii="Book Antiqua" w:hAnsi="Book Antiqua" w:cs="Times New Roman"/>
        </w:rPr>
        <w:t xml:space="preserve"> 2019–2021. </w:t>
      </w:r>
      <w:proofErr w:type="spellStart"/>
      <w:r w:rsidRPr="00D94BCC">
        <w:rPr>
          <w:rFonts w:ascii="Book Antiqua" w:hAnsi="Book Antiqua" w:cs="Times New Roman"/>
        </w:rPr>
        <w:t>Jurnal</w:t>
      </w:r>
      <w:proofErr w:type="spellEnd"/>
      <w:r w:rsidRPr="00D94BCC">
        <w:rPr>
          <w:rFonts w:ascii="Book Antiqua" w:hAnsi="Book Antiqua" w:cs="Times New Roman"/>
        </w:rPr>
        <w:t xml:space="preserve"> </w:t>
      </w:r>
      <w:proofErr w:type="spellStart"/>
      <w:r w:rsidRPr="00D94BCC">
        <w:rPr>
          <w:rFonts w:ascii="Book Antiqua" w:hAnsi="Book Antiqua" w:cs="Times New Roman"/>
        </w:rPr>
        <w:t>Ilmu</w:t>
      </w:r>
      <w:proofErr w:type="spellEnd"/>
      <w:r w:rsidRPr="00D94BCC">
        <w:rPr>
          <w:rFonts w:ascii="Book Antiqua" w:hAnsi="Book Antiqua" w:cs="Times New Roman"/>
        </w:rPr>
        <w:t xml:space="preserve"> </w:t>
      </w:r>
      <w:proofErr w:type="spellStart"/>
      <w:r w:rsidRPr="00D94BCC">
        <w:rPr>
          <w:rFonts w:ascii="Book Antiqua" w:hAnsi="Book Antiqua" w:cs="Times New Roman"/>
        </w:rPr>
        <w:t>Manajemen</w:t>
      </w:r>
      <w:proofErr w:type="spellEnd"/>
      <w:r w:rsidRPr="00D94BCC">
        <w:rPr>
          <w:rFonts w:ascii="Book Antiqua" w:hAnsi="Book Antiqua" w:cs="Times New Roman"/>
        </w:rPr>
        <w:t xml:space="preserve"> dan </w:t>
      </w:r>
      <w:proofErr w:type="spellStart"/>
      <w:r w:rsidRPr="00D94BCC">
        <w:rPr>
          <w:rFonts w:ascii="Book Antiqua" w:hAnsi="Book Antiqua" w:cs="Times New Roman"/>
        </w:rPr>
        <w:t>Akuntansi</w:t>
      </w:r>
      <w:proofErr w:type="spellEnd"/>
      <w:r w:rsidRPr="00D94BCC">
        <w:rPr>
          <w:rFonts w:ascii="Book Antiqua" w:hAnsi="Book Antiqua" w:cs="Times New Roman"/>
        </w:rPr>
        <w:t>, 10(2), 145–156.</w:t>
      </w:r>
    </w:p>
    <w:p w14:paraId="488E772E" w14:textId="77777777" w:rsidR="005B3877" w:rsidRDefault="00C15F22" w:rsidP="005B3877">
      <w:pPr>
        <w:spacing w:line="240" w:lineRule="auto"/>
        <w:ind w:left="567" w:hanging="567"/>
        <w:jc w:val="both"/>
        <w:rPr>
          <w:rFonts w:ascii="Book Antiqua" w:hAnsi="Book Antiqua" w:cs="Times New Roman"/>
        </w:rPr>
      </w:pPr>
      <w:r w:rsidRPr="00D94BCC">
        <w:rPr>
          <w:rFonts w:ascii="Book Antiqua" w:hAnsi="Book Antiqua" w:cs="Times New Roman"/>
        </w:rPr>
        <w:t xml:space="preserve">Riesmiyantiningtias, N., &amp; </w:t>
      </w:r>
      <w:proofErr w:type="spellStart"/>
      <w:r w:rsidRPr="00D94BCC">
        <w:rPr>
          <w:rFonts w:ascii="Book Antiqua" w:hAnsi="Book Antiqua" w:cs="Times New Roman"/>
        </w:rPr>
        <w:t>Siagian</w:t>
      </w:r>
      <w:proofErr w:type="spellEnd"/>
      <w:r w:rsidRPr="00D94BCC">
        <w:rPr>
          <w:rFonts w:ascii="Book Antiqua" w:hAnsi="Book Antiqua" w:cs="Times New Roman"/>
        </w:rPr>
        <w:t xml:space="preserve">, A. O. (2020). </w:t>
      </w:r>
      <w:proofErr w:type="spellStart"/>
      <w:r w:rsidRPr="00D94BCC">
        <w:rPr>
          <w:rFonts w:ascii="Book Antiqua" w:hAnsi="Book Antiqua" w:cs="Times New Roman"/>
        </w:rPr>
        <w:t>Analisis</w:t>
      </w:r>
      <w:proofErr w:type="spellEnd"/>
      <w:r w:rsidRPr="00D94BCC">
        <w:rPr>
          <w:rFonts w:ascii="Book Antiqua" w:hAnsi="Book Antiqua" w:cs="Times New Roman"/>
        </w:rPr>
        <w:t xml:space="preserve"> </w:t>
      </w:r>
      <w:proofErr w:type="spellStart"/>
      <w:r w:rsidRPr="00D94BCC">
        <w:rPr>
          <w:rFonts w:ascii="Book Antiqua" w:hAnsi="Book Antiqua" w:cs="Times New Roman"/>
        </w:rPr>
        <w:t>Laporan</w:t>
      </w:r>
      <w:proofErr w:type="spellEnd"/>
      <w:r w:rsidRPr="00D94BCC">
        <w:rPr>
          <w:rFonts w:ascii="Book Antiqua" w:hAnsi="Book Antiqua" w:cs="Times New Roman"/>
        </w:rPr>
        <w:t xml:space="preserve"> </w:t>
      </w:r>
      <w:proofErr w:type="spellStart"/>
      <w:r w:rsidRPr="00D94BCC">
        <w:rPr>
          <w:rFonts w:ascii="Book Antiqua" w:hAnsi="Book Antiqua" w:cs="Times New Roman"/>
        </w:rPr>
        <w:t>Keuangan</w:t>
      </w:r>
      <w:proofErr w:type="spellEnd"/>
      <w:r w:rsidRPr="00D94BCC">
        <w:rPr>
          <w:rFonts w:ascii="Book Antiqua" w:hAnsi="Book Antiqua" w:cs="Times New Roman"/>
        </w:rPr>
        <w:t xml:space="preserve"> </w:t>
      </w:r>
      <w:proofErr w:type="spellStart"/>
      <w:r w:rsidRPr="00D94BCC">
        <w:rPr>
          <w:rFonts w:ascii="Book Antiqua" w:hAnsi="Book Antiqua" w:cs="Times New Roman"/>
        </w:rPr>
        <w:t>untuk</w:t>
      </w:r>
      <w:proofErr w:type="spellEnd"/>
      <w:r w:rsidRPr="00D94BCC">
        <w:rPr>
          <w:rFonts w:ascii="Book Antiqua" w:hAnsi="Book Antiqua" w:cs="Times New Roman"/>
        </w:rPr>
        <w:t xml:space="preserve"> </w:t>
      </w:r>
      <w:proofErr w:type="spellStart"/>
      <w:r w:rsidRPr="00D94BCC">
        <w:rPr>
          <w:rFonts w:ascii="Book Antiqua" w:hAnsi="Book Antiqua" w:cs="Times New Roman"/>
        </w:rPr>
        <w:t>Menilai</w:t>
      </w:r>
      <w:proofErr w:type="spellEnd"/>
      <w:r w:rsidRPr="00D94BCC">
        <w:rPr>
          <w:rFonts w:ascii="Book Antiqua" w:hAnsi="Book Antiqua" w:cs="Times New Roman"/>
        </w:rPr>
        <w:t xml:space="preserve"> </w:t>
      </w:r>
      <w:proofErr w:type="spellStart"/>
      <w:r w:rsidRPr="00D94BCC">
        <w:rPr>
          <w:rFonts w:ascii="Book Antiqua" w:hAnsi="Book Antiqua" w:cs="Times New Roman"/>
        </w:rPr>
        <w:t>Kinerja</w:t>
      </w:r>
      <w:proofErr w:type="spellEnd"/>
      <w:r w:rsidRPr="00D94BCC">
        <w:rPr>
          <w:rFonts w:ascii="Book Antiqua" w:hAnsi="Book Antiqua" w:cs="Times New Roman"/>
        </w:rPr>
        <w:t xml:space="preserve"> </w:t>
      </w:r>
      <w:proofErr w:type="spellStart"/>
      <w:r w:rsidRPr="00D94BCC">
        <w:rPr>
          <w:rFonts w:ascii="Book Antiqua" w:hAnsi="Book Antiqua" w:cs="Times New Roman"/>
        </w:rPr>
        <w:t>Keuangan</w:t>
      </w:r>
      <w:proofErr w:type="spellEnd"/>
      <w:r w:rsidRPr="00D94BCC">
        <w:rPr>
          <w:rFonts w:ascii="Book Antiqua" w:hAnsi="Book Antiqua" w:cs="Times New Roman"/>
        </w:rPr>
        <w:t xml:space="preserve"> Perusahaan pada PT Midi Utama Indonesia </w:t>
      </w:r>
      <w:proofErr w:type="spellStart"/>
      <w:r w:rsidRPr="00D94BCC">
        <w:rPr>
          <w:rFonts w:ascii="Book Antiqua" w:hAnsi="Book Antiqua" w:cs="Times New Roman"/>
        </w:rPr>
        <w:t>Tbk</w:t>
      </w:r>
      <w:proofErr w:type="spellEnd"/>
      <w:r w:rsidRPr="00D94BCC">
        <w:rPr>
          <w:rFonts w:ascii="Book Antiqua" w:hAnsi="Book Antiqua" w:cs="Times New Roman"/>
        </w:rPr>
        <w:t xml:space="preserve">. </w:t>
      </w:r>
      <w:proofErr w:type="spellStart"/>
      <w:r w:rsidRPr="00D94BCC">
        <w:rPr>
          <w:rFonts w:ascii="Book Antiqua" w:hAnsi="Book Antiqua" w:cs="Times New Roman"/>
        </w:rPr>
        <w:t>Jurnal</w:t>
      </w:r>
      <w:proofErr w:type="spellEnd"/>
      <w:r w:rsidRPr="00D94BCC">
        <w:rPr>
          <w:rFonts w:ascii="Book Antiqua" w:hAnsi="Book Antiqua" w:cs="Times New Roman"/>
        </w:rPr>
        <w:t xml:space="preserve"> </w:t>
      </w:r>
      <w:proofErr w:type="spellStart"/>
      <w:r w:rsidRPr="00D94BCC">
        <w:rPr>
          <w:rFonts w:ascii="Book Antiqua" w:hAnsi="Book Antiqua" w:cs="Times New Roman"/>
        </w:rPr>
        <w:t>Akrab</w:t>
      </w:r>
      <w:proofErr w:type="spellEnd"/>
      <w:r w:rsidRPr="00D94BCC">
        <w:rPr>
          <w:rFonts w:ascii="Book Antiqua" w:hAnsi="Book Antiqua" w:cs="Times New Roman"/>
        </w:rPr>
        <w:t xml:space="preserve"> </w:t>
      </w:r>
      <w:proofErr w:type="spellStart"/>
      <w:r w:rsidRPr="00D94BCC">
        <w:rPr>
          <w:rFonts w:ascii="Book Antiqua" w:hAnsi="Book Antiqua" w:cs="Times New Roman"/>
        </w:rPr>
        <w:t>Juara</w:t>
      </w:r>
      <w:proofErr w:type="spellEnd"/>
      <w:r w:rsidRPr="00D94BCC">
        <w:rPr>
          <w:rFonts w:ascii="Book Antiqua" w:hAnsi="Book Antiqua" w:cs="Times New Roman"/>
        </w:rPr>
        <w:t>, 5(4), 244–254.</w:t>
      </w:r>
    </w:p>
    <w:p w14:paraId="554300A4" w14:textId="77777777" w:rsidR="005B3877" w:rsidRDefault="00C15F22" w:rsidP="005B3877">
      <w:pPr>
        <w:spacing w:line="240" w:lineRule="auto"/>
        <w:ind w:left="567" w:hanging="567"/>
        <w:jc w:val="both"/>
        <w:rPr>
          <w:rFonts w:ascii="Book Antiqua" w:hAnsi="Book Antiqua" w:cs="Times New Roman"/>
        </w:rPr>
      </w:pPr>
      <w:r w:rsidRPr="00D94BCC">
        <w:rPr>
          <w:rFonts w:ascii="Book Antiqua" w:hAnsi="Book Antiqua" w:cs="Times New Roman"/>
        </w:rPr>
        <w:t xml:space="preserve">Riza, N. F. W., Djaja, S., &amp; Kartini, T. (2019). </w:t>
      </w:r>
      <w:proofErr w:type="spellStart"/>
      <w:r w:rsidRPr="00D94BCC">
        <w:rPr>
          <w:rFonts w:ascii="Book Antiqua" w:hAnsi="Book Antiqua" w:cs="Times New Roman"/>
        </w:rPr>
        <w:t>Analisis</w:t>
      </w:r>
      <w:proofErr w:type="spellEnd"/>
      <w:r w:rsidRPr="00D94BCC">
        <w:rPr>
          <w:rFonts w:ascii="Book Antiqua" w:hAnsi="Book Antiqua" w:cs="Times New Roman"/>
        </w:rPr>
        <w:t xml:space="preserve"> </w:t>
      </w:r>
      <w:proofErr w:type="spellStart"/>
      <w:r w:rsidRPr="00D94BCC">
        <w:rPr>
          <w:rFonts w:ascii="Book Antiqua" w:hAnsi="Book Antiqua" w:cs="Times New Roman"/>
        </w:rPr>
        <w:t>Rasio</w:t>
      </w:r>
      <w:proofErr w:type="spellEnd"/>
      <w:r w:rsidRPr="00D94BCC">
        <w:rPr>
          <w:rFonts w:ascii="Book Antiqua" w:hAnsi="Book Antiqua" w:cs="Times New Roman"/>
        </w:rPr>
        <w:t xml:space="preserve"> </w:t>
      </w:r>
      <w:proofErr w:type="spellStart"/>
      <w:r w:rsidRPr="00D94BCC">
        <w:rPr>
          <w:rFonts w:ascii="Book Antiqua" w:hAnsi="Book Antiqua" w:cs="Times New Roman"/>
        </w:rPr>
        <w:t>Keuangan</w:t>
      </w:r>
      <w:proofErr w:type="spellEnd"/>
      <w:r w:rsidRPr="00D94BCC">
        <w:rPr>
          <w:rFonts w:ascii="Book Antiqua" w:hAnsi="Book Antiqua" w:cs="Times New Roman"/>
        </w:rPr>
        <w:t xml:space="preserve"> </w:t>
      </w:r>
      <w:proofErr w:type="spellStart"/>
      <w:r w:rsidRPr="00D94BCC">
        <w:rPr>
          <w:rFonts w:ascii="Book Antiqua" w:hAnsi="Book Antiqua" w:cs="Times New Roman"/>
        </w:rPr>
        <w:t>untuk</w:t>
      </w:r>
      <w:proofErr w:type="spellEnd"/>
      <w:r w:rsidRPr="00D94BCC">
        <w:rPr>
          <w:rFonts w:ascii="Book Antiqua" w:hAnsi="Book Antiqua" w:cs="Times New Roman"/>
        </w:rPr>
        <w:t xml:space="preserve"> </w:t>
      </w:r>
      <w:proofErr w:type="spellStart"/>
      <w:r w:rsidRPr="00D94BCC">
        <w:rPr>
          <w:rFonts w:ascii="Book Antiqua" w:hAnsi="Book Antiqua" w:cs="Times New Roman"/>
        </w:rPr>
        <w:t>Menilai</w:t>
      </w:r>
      <w:proofErr w:type="spellEnd"/>
      <w:r w:rsidRPr="00D94BCC">
        <w:rPr>
          <w:rFonts w:ascii="Book Antiqua" w:hAnsi="Book Antiqua" w:cs="Times New Roman"/>
        </w:rPr>
        <w:t xml:space="preserve"> </w:t>
      </w:r>
      <w:proofErr w:type="spellStart"/>
      <w:r w:rsidRPr="00D94BCC">
        <w:rPr>
          <w:rFonts w:ascii="Book Antiqua" w:hAnsi="Book Antiqua" w:cs="Times New Roman"/>
        </w:rPr>
        <w:t>Kinerja</w:t>
      </w:r>
      <w:proofErr w:type="spellEnd"/>
      <w:r w:rsidRPr="00D94BCC">
        <w:rPr>
          <w:rFonts w:ascii="Book Antiqua" w:hAnsi="Book Antiqua" w:cs="Times New Roman"/>
        </w:rPr>
        <w:t xml:space="preserve"> </w:t>
      </w:r>
      <w:proofErr w:type="spellStart"/>
      <w:r w:rsidRPr="00D94BCC">
        <w:rPr>
          <w:rFonts w:ascii="Book Antiqua" w:hAnsi="Book Antiqua" w:cs="Times New Roman"/>
        </w:rPr>
        <w:t>Keuangan</w:t>
      </w:r>
      <w:proofErr w:type="spellEnd"/>
      <w:r w:rsidRPr="00D94BCC">
        <w:rPr>
          <w:rFonts w:ascii="Book Antiqua" w:hAnsi="Book Antiqua" w:cs="Times New Roman"/>
        </w:rPr>
        <w:t xml:space="preserve"> pada </w:t>
      </w:r>
      <w:proofErr w:type="spellStart"/>
      <w:r w:rsidRPr="00D94BCC">
        <w:rPr>
          <w:rFonts w:ascii="Book Antiqua" w:hAnsi="Book Antiqua" w:cs="Times New Roman"/>
        </w:rPr>
        <w:t>Koperasi</w:t>
      </w:r>
      <w:proofErr w:type="spellEnd"/>
      <w:r w:rsidRPr="00D94BCC">
        <w:rPr>
          <w:rFonts w:ascii="Book Antiqua" w:hAnsi="Book Antiqua" w:cs="Times New Roman"/>
        </w:rPr>
        <w:t xml:space="preserve"> </w:t>
      </w:r>
      <w:proofErr w:type="spellStart"/>
      <w:r w:rsidRPr="00D94BCC">
        <w:rPr>
          <w:rFonts w:ascii="Book Antiqua" w:hAnsi="Book Antiqua" w:cs="Times New Roman"/>
        </w:rPr>
        <w:t>Dama</w:t>
      </w:r>
      <w:proofErr w:type="spellEnd"/>
      <w:r w:rsidRPr="00D94BCC">
        <w:rPr>
          <w:rFonts w:ascii="Book Antiqua" w:hAnsi="Book Antiqua" w:cs="Times New Roman"/>
        </w:rPr>
        <w:t xml:space="preserve"> Putra </w:t>
      </w:r>
      <w:proofErr w:type="spellStart"/>
      <w:r w:rsidRPr="00D94BCC">
        <w:rPr>
          <w:rFonts w:ascii="Book Antiqua" w:hAnsi="Book Antiqua" w:cs="Times New Roman"/>
        </w:rPr>
        <w:t>Uddhata</w:t>
      </w:r>
      <w:proofErr w:type="spellEnd"/>
      <w:r w:rsidRPr="00D94BCC">
        <w:rPr>
          <w:rFonts w:ascii="Book Antiqua" w:hAnsi="Book Antiqua" w:cs="Times New Roman"/>
        </w:rPr>
        <w:t xml:space="preserve"> Jember. </w:t>
      </w:r>
      <w:proofErr w:type="spellStart"/>
      <w:r w:rsidRPr="00D94BCC">
        <w:rPr>
          <w:rFonts w:ascii="Book Antiqua" w:hAnsi="Book Antiqua" w:cs="Times New Roman"/>
        </w:rPr>
        <w:t>Jurnal</w:t>
      </w:r>
      <w:proofErr w:type="spellEnd"/>
      <w:r w:rsidRPr="00D94BCC">
        <w:rPr>
          <w:rFonts w:ascii="Book Antiqua" w:hAnsi="Book Antiqua" w:cs="Times New Roman"/>
        </w:rPr>
        <w:t xml:space="preserve"> </w:t>
      </w:r>
      <w:proofErr w:type="spellStart"/>
      <w:r w:rsidRPr="00D94BCC">
        <w:rPr>
          <w:rFonts w:ascii="Book Antiqua" w:hAnsi="Book Antiqua" w:cs="Times New Roman"/>
        </w:rPr>
        <w:t>Ilmu</w:t>
      </w:r>
      <w:proofErr w:type="spellEnd"/>
      <w:r w:rsidRPr="00D94BCC">
        <w:rPr>
          <w:rFonts w:ascii="Book Antiqua" w:hAnsi="Book Antiqua" w:cs="Times New Roman"/>
        </w:rPr>
        <w:t xml:space="preserve"> Pendidikan, </w:t>
      </w:r>
      <w:proofErr w:type="spellStart"/>
      <w:r w:rsidRPr="00D94BCC">
        <w:rPr>
          <w:rFonts w:ascii="Book Antiqua" w:hAnsi="Book Antiqua" w:cs="Times New Roman"/>
        </w:rPr>
        <w:t>Ekonomi</w:t>
      </w:r>
      <w:proofErr w:type="spellEnd"/>
      <w:r w:rsidRPr="00D94BCC">
        <w:rPr>
          <w:rFonts w:ascii="Book Antiqua" w:hAnsi="Book Antiqua" w:cs="Times New Roman"/>
        </w:rPr>
        <w:t xml:space="preserve">, dan </w:t>
      </w:r>
      <w:proofErr w:type="spellStart"/>
      <w:r w:rsidRPr="00D94BCC">
        <w:rPr>
          <w:rFonts w:ascii="Book Antiqua" w:hAnsi="Book Antiqua" w:cs="Times New Roman"/>
        </w:rPr>
        <w:t>Sosial</w:t>
      </w:r>
      <w:proofErr w:type="spellEnd"/>
      <w:r w:rsidRPr="00D94BCC">
        <w:rPr>
          <w:rFonts w:ascii="Book Antiqua" w:hAnsi="Book Antiqua" w:cs="Times New Roman"/>
        </w:rPr>
        <w:t>, 13(1), 1–9.</w:t>
      </w:r>
    </w:p>
    <w:p w14:paraId="7DD33728" w14:textId="77777777" w:rsidR="005B3877" w:rsidRDefault="00C15F22" w:rsidP="005B3877">
      <w:pPr>
        <w:spacing w:line="240" w:lineRule="auto"/>
        <w:ind w:left="567" w:hanging="567"/>
        <w:jc w:val="both"/>
        <w:rPr>
          <w:rFonts w:ascii="Book Antiqua" w:hAnsi="Book Antiqua" w:cs="Times New Roman"/>
        </w:rPr>
      </w:pPr>
      <w:r w:rsidRPr="00D94BCC">
        <w:rPr>
          <w:rFonts w:ascii="Book Antiqua" w:hAnsi="Book Antiqua" w:cs="Times New Roman"/>
        </w:rPr>
        <w:t xml:space="preserve">Rizky Indrawan, R., Van Rate, P., &amp; </w:t>
      </w:r>
      <w:proofErr w:type="spellStart"/>
      <w:r w:rsidRPr="00D94BCC">
        <w:rPr>
          <w:rFonts w:ascii="Book Antiqua" w:hAnsi="Book Antiqua" w:cs="Times New Roman"/>
        </w:rPr>
        <w:t>Untu</w:t>
      </w:r>
      <w:proofErr w:type="spellEnd"/>
      <w:r w:rsidRPr="00D94BCC">
        <w:rPr>
          <w:rFonts w:ascii="Book Antiqua" w:hAnsi="Book Antiqua" w:cs="Times New Roman"/>
        </w:rPr>
        <w:t xml:space="preserve">, V. N. (2022). </w:t>
      </w:r>
      <w:proofErr w:type="spellStart"/>
      <w:r w:rsidRPr="00D94BCC">
        <w:rPr>
          <w:rFonts w:ascii="Book Antiqua" w:hAnsi="Book Antiqua" w:cs="Times New Roman"/>
        </w:rPr>
        <w:t>Analisis</w:t>
      </w:r>
      <w:proofErr w:type="spellEnd"/>
      <w:r w:rsidRPr="00D94BCC">
        <w:rPr>
          <w:rFonts w:ascii="Book Antiqua" w:hAnsi="Book Antiqua" w:cs="Times New Roman"/>
        </w:rPr>
        <w:t xml:space="preserve"> </w:t>
      </w:r>
      <w:proofErr w:type="spellStart"/>
      <w:r w:rsidRPr="00D94BCC">
        <w:rPr>
          <w:rFonts w:ascii="Book Antiqua" w:hAnsi="Book Antiqua" w:cs="Times New Roman"/>
        </w:rPr>
        <w:t>Perbandingan</w:t>
      </w:r>
      <w:proofErr w:type="spellEnd"/>
      <w:r w:rsidRPr="00D94BCC">
        <w:rPr>
          <w:rFonts w:ascii="Book Antiqua" w:hAnsi="Book Antiqua" w:cs="Times New Roman"/>
        </w:rPr>
        <w:t xml:space="preserve"> </w:t>
      </w:r>
      <w:proofErr w:type="spellStart"/>
      <w:r w:rsidRPr="00D94BCC">
        <w:rPr>
          <w:rFonts w:ascii="Book Antiqua" w:hAnsi="Book Antiqua" w:cs="Times New Roman"/>
        </w:rPr>
        <w:t>Kinerja</w:t>
      </w:r>
      <w:proofErr w:type="spellEnd"/>
      <w:r w:rsidRPr="00D94BCC">
        <w:rPr>
          <w:rFonts w:ascii="Book Antiqua" w:hAnsi="Book Antiqua" w:cs="Times New Roman"/>
        </w:rPr>
        <w:t xml:space="preserve"> </w:t>
      </w:r>
      <w:proofErr w:type="spellStart"/>
      <w:r w:rsidRPr="00D94BCC">
        <w:rPr>
          <w:rFonts w:ascii="Book Antiqua" w:hAnsi="Book Antiqua" w:cs="Times New Roman"/>
        </w:rPr>
        <w:t>Keuangan</w:t>
      </w:r>
      <w:proofErr w:type="spellEnd"/>
      <w:r w:rsidRPr="00D94BCC">
        <w:rPr>
          <w:rFonts w:ascii="Book Antiqua" w:hAnsi="Book Antiqua" w:cs="Times New Roman"/>
        </w:rPr>
        <w:t xml:space="preserve"> Pada PT Astra </w:t>
      </w:r>
      <w:proofErr w:type="spellStart"/>
      <w:r w:rsidRPr="00D94BCC">
        <w:rPr>
          <w:rFonts w:ascii="Book Antiqua" w:hAnsi="Book Antiqua" w:cs="Times New Roman"/>
        </w:rPr>
        <w:t>Otoparts</w:t>
      </w:r>
      <w:proofErr w:type="spellEnd"/>
      <w:r w:rsidRPr="00D94BCC">
        <w:rPr>
          <w:rFonts w:ascii="Book Antiqua" w:hAnsi="Book Antiqua" w:cs="Times New Roman"/>
        </w:rPr>
        <w:t xml:space="preserve"> </w:t>
      </w:r>
      <w:proofErr w:type="spellStart"/>
      <w:r w:rsidRPr="00D94BCC">
        <w:rPr>
          <w:rFonts w:ascii="Book Antiqua" w:hAnsi="Book Antiqua" w:cs="Times New Roman"/>
        </w:rPr>
        <w:t>Tbk</w:t>
      </w:r>
      <w:proofErr w:type="spellEnd"/>
      <w:r w:rsidRPr="00D94BCC">
        <w:rPr>
          <w:rFonts w:ascii="Book Antiqua" w:hAnsi="Book Antiqua" w:cs="Times New Roman"/>
        </w:rPr>
        <w:t xml:space="preserve"> dan PT </w:t>
      </w:r>
      <w:proofErr w:type="spellStart"/>
      <w:r w:rsidRPr="00D94BCC">
        <w:rPr>
          <w:rFonts w:ascii="Book Antiqua" w:hAnsi="Book Antiqua" w:cs="Times New Roman"/>
        </w:rPr>
        <w:t>Selamat</w:t>
      </w:r>
      <w:proofErr w:type="spellEnd"/>
      <w:r w:rsidRPr="00D94BCC">
        <w:rPr>
          <w:rFonts w:ascii="Book Antiqua" w:hAnsi="Book Antiqua" w:cs="Times New Roman"/>
        </w:rPr>
        <w:t xml:space="preserve"> </w:t>
      </w:r>
      <w:proofErr w:type="spellStart"/>
      <w:r w:rsidRPr="00D94BCC">
        <w:rPr>
          <w:rFonts w:ascii="Book Antiqua" w:hAnsi="Book Antiqua" w:cs="Times New Roman"/>
        </w:rPr>
        <w:t>Sempurna</w:t>
      </w:r>
      <w:proofErr w:type="spellEnd"/>
      <w:r w:rsidRPr="00D94BCC">
        <w:rPr>
          <w:rFonts w:ascii="Book Antiqua" w:hAnsi="Book Antiqua" w:cs="Times New Roman"/>
        </w:rPr>
        <w:t xml:space="preserve"> </w:t>
      </w:r>
      <w:proofErr w:type="spellStart"/>
      <w:r w:rsidRPr="00D94BCC">
        <w:rPr>
          <w:rFonts w:ascii="Book Antiqua" w:hAnsi="Book Antiqua" w:cs="Times New Roman"/>
        </w:rPr>
        <w:t>Tbk</w:t>
      </w:r>
      <w:proofErr w:type="spellEnd"/>
      <w:r w:rsidRPr="00D94BCC">
        <w:rPr>
          <w:rFonts w:ascii="Book Antiqua" w:hAnsi="Book Antiqua" w:cs="Times New Roman"/>
        </w:rPr>
        <w:t xml:space="preserve"> </w:t>
      </w:r>
      <w:proofErr w:type="spellStart"/>
      <w:r w:rsidRPr="00D94BCC">
        <w:rPr>
          <w:rFonts w:ascii="Book Antiqua" w:hAnsi="Book Antiqua" w:cs="Times New Roman"/>
        </w:rPr>
        <w:t>Periode</w:t>
      </w:r>
      <w:proofErr w:type="spellEnd"/>
      <w:r w:rsidRPr="00D94BCC">
        <w:rPr>
          <w:rFonts w:ascii="Book Antiqua" w:hAnsi="Book Antiqua" w:cs="Times New Roman"/>
        </w:rPr>
        <w:t xml:space="preserve"> 2016–2020. </w:t>
      </w:r>
      <w:proofErr w:type="spellStart"/>
      <w:r w:rsidRPr="00D94BCC">
        <w:rPr>
          <w:rFonts w:ascii="Book Antiqua" w:hAnsi="Book Antiqua" w:cs="Times New Roman"/>
        </w:rPr>
        <w:t>Jurnal</w:t>
      </w:r>
      <w:proofErr w:type="spellEnd"/>
      <w:r w:rsidRPr="00D94BCC">
        <w:rPr>
          <w:rFonts w:ascii="Book Antiqua" w:hAnsi="Book Antiqua" w:cs="Times New Roman"/>
        </w:rPr>
        <w:t xml:space="preserve"> EMBA, 10(1), 1388–1398.</w:t>
      </w:r>
    </w:p>
    <w:p w14:paraId="03E03F6B" w14:textId="77777777" w:rsidR="005B3877" w:rsidRDefault="00C15F22" w:rsidP="005B3877">
      <w:pPr>
        <w:spacing w:line="240" w:lineRule="auto"/>
        <w:ind w:left="567" w:hanging="567"/>
        <w:jc w:val="both"/>
        <w:rPr>
          <w:rFonts w:ascii="Book Antiqua" w:hAnsi="Book Antiqua" w:cs="Times New Roman"/>
        </w:rPr>
      </w:pPr>
      <w:r w:rsidRPr="00D94BCC">
        <w:rPr>
          <w:rFonts w:ascii="Book Antiqua" w:hAnsi="Book Antiqua" w:cs="Times New Roman"/>
        </w:rPr>
        <w:t xml:space="preserve">Shabrina, N. (2019). </w:t>
      </w:r>
      <w:proofErr w:type="spellStart"/>
      <w:r w:rsidRPr="00D94BCC">
        <w:rPr>
          <w:rFonts w:ascii="Book Antiqua" w:hAnsi="Book Antiqua" w:cs="Times New Roman"/>
        </w:rPr>
        <w:t>Analisis</w:t>
      </w:r>
      <w:proofErr w:type="spellEnd"/>
      <w:r w:rsidRPr="00D94BCC">
        <w:rPr>
          <w:rFonts w:ascii="Book Antiqua" w:hAnsi="Book Antiqua" w:cs="Times New Roman"/>
        </w:rPr>
        <w:t xml:space="preserve"> </w:t>
      </w:r>
      <w:proofErr w:type="spellStart"/>
      <w:r w:rsidRPr="00D94BCC">
        <w:rPr>
          <w:rFonts w:ascii="Book Antiqua" w:hAnsi="Book Antiqua" w:cs="Times New Roman"/>
        </w:rPr>
        <w:t>Rasio</w:t>
      </w:r>
      <w:proofErr w:type="spellEnd"/>
      <w:r w:rsidRPr="00D94BCC">
        <w:rPr>
          <w:rFonts w:ascii="Book Antiqua" w:hAnsi="Book Antiqua" w:cs="Times New Roman"/>
        </w:rPr>
        <w:t xml:space="preserve"> </w:t>
      </w:r>
      <w:proofErr w:type="spellStart"/>
      <w:r w:rsidRPr="00D94BCC">
        <w:rPr>
          <w:rFonts w:ascii="Book Antiqua" w:hAnsi="Book Antiqua" w:cs="Times New Roman"/>
        </w:rPr>
        <w:t>Profitabilitas</w:t>
      </w:r>
      <w:proofErr w:type="spellEnd"/>
      <w:r w:rsidRPr="00D94BCC">
        <w:rPr>
          <w:rFonts w:ascii="Book Antiqua" w:hAnsi="Book Antiqua" w:cs="Times New Roman"/>
        </w:rPr>
        <w:t xml:space="preserve"> dan </w:t>
      </w:r>
      <w:proofErr w:type="spellStart"/>
      <w:r w:rsidRPr="00D94BCC">
        <w:rPr>
          <w:rFonts w:ascii="Book Antiqua" w:hAnsi="Book Antiqua" w:cs="Times New Roman"/>
        </w:rPr>
        <w:t>Likuiditas</w:t>
      </w:r>
      <w:proofErr w:type="spellEnd"/>
      <w:r w:rsidRPr="00D94BCC">
        <w:rPr>
          <w:rFonts w:ascii="Book Antiqua" w:hAnsi="Book Antiqua" w:cs="Times New Roman"/>
        </w:rPr>
        <w:t xml:space="preserve"> </w:t>
      </w:r>
      <w:proofErr w:type="spellStart"/>
      <w:r w:rsidRPr="00D94BCC">
        <w:rPr>
          <w:rFonts w:ascii="Book Antiqua" w:hAnsi="Book Antiqua" w:cs="Times New Roman"/>
        </w:rPr>
        <w:t>untuk</w:t>
      </w:r>
      <w:proofErr w:type="spellEnd"/>
      <w:r w:rsidRPr="00D94BCC">
        <w:rPr>
          <w:rFonts w:ascii="Book Antiqua" w:hAnsi="Book Antiqua" w:cs="Times New Roman"/>
        </w:rPr>
        <w:t xml:space="preserve"> </w:t>
      </w:r>
      <w:proofErr w:type="spellStart"/>
      <w:r w:rsidRPr="00D94BCC">
        <w:rPr>
          <w:rFonts w:ascii="Book Antiqua" w:hAnsi="Book Antiqua" w:cs="Times New Roman"/>
        </w:rPr>
        <w:t>Menilai</w:t>
      </w:r>
      <w:proofErr w:type="spellEnd"/>
      <w:r w:rsidRPr="00D94BCC">
        <w:rPr>
          <w:rFonts w:ascii="Book Antiqua" w:hAnsi="Book Antiqua" w:cs="Times New Roman"/>
        </w:rPr>
        <w:t xml:space="preserve"> </w:t>
      </w:r>
      <w:proofErr w:type="spellStart"/>
      <w:r w:rsidRPr="00D94BCC">
        <w:rPr>
          <w:rFonts w:ascii="Book Antiqua" w:hAnsi="Book Antiqua" w:cs="Times New Roman"/>
        </w:rPr>
        <w:t>Kinerja</w:t>
      </w:r>
      <w:proofErr w:type="spellEnd"/>
      <w:r w:rsidRPr="00D94BCC">
        <w:rPr>
          <w:rFonts w:ascii="Book Antiqua" w:hAnsi="Book Antiqua" w:cs="Times New Roman"/>
        </w:rPr>
        <w:t xml:space="preserve"> </w:t>
      </w:r>
      <w:proofErr w:type="spellStart"/>
      <w:r w:rsidRPr="00D94BCC">
        <w:rPr>
          <w:rFonts w:ascii="Book Antiqua" w:hAnsi="Book Antiqua" w:cs="Times New Roman"/>
        </w:rPr>
        <w:t>Keuangan</w:t>
      </w:r>
      <w:proofErr w:type="spellEnd"/>
      <w:r w:rsidRPr="00D94BCC">
        <w:rPr>
          <w:rFonts w:ascii="Book Antiqua" w:hAnsi="Book Antiqua" w:cs="Times New Roman"/>
        </w:rPr>
        <w:t xml:space="preserve"> pada PT Astra International </w:t>
      </w:r>
      <w:proofErr w:type="spellStart"/>
      <w:r w:rsidRPr="00D94BCC">
        <w:rPr>
          <w:rFonts w:ascii="Book Antiqua" w:hAnsi="Book Antiqua" w:cs="Times New Roman"/>
        </w:rPr>
        <w:t>Tbk</w:t>
      </w:r>
      <w:proofErr w:type="spellEnd"/>
      <w:r w:rsidRPr="00D94BCC">
        <w:rPr>
          <w:rFonts w:ascii="Book Antiqua" w:hAnsi="Book Antiqua" w:cs="Times New Roman"/>
        </w:rPr>
        <w:t xml:space="preserve">. </w:t>
      </w:r>
      <w:proofErr w:type="spellStart"/>
      <w:r w:rsidRPr="00D94BCC">
        <w:rPr>
          <w:rFonts w:ascii="Book Antiqua" w:hAnsi="Book Antiqua" w:cs="Times New Roman"/>
        </w:rPr>
        <w:t>Jurnal</w:t>
      </w:r>
      <w:proofErr w:type="spellEnd"/>
      <w:r w:rsidRPr="00D94BCC">
        <w:rPr>
          <w:rFonts w:ascii="Book Antiqua" w:hAnsi="Book Antiqua" w:cs="Times New Roman"/>
        </w:rPr>
        <w:t xml:space="preserve"> </w:t>
      </w:r>
      <w:proofErr w:type="spellStart"/>
      <w:r w:rsidRPr="00D94BCC">
        <w:rPr>
          <w:rFonts w:ascii="Book Antiqua" w:hAnsi="Book Antiqua" w:cs="Times New Roman"/>
        </w:rPr>
        <w:t>Ilmiah</w:t>
      </w:r>
      <w:proofErr w:type="spellEnd"/>
      <w:r w:rsidRPr="00D94BCC">
        <w:rPr>
          <w:rFonts w:ascii="Book Antiqua" w:hAnsi="Book Antiqua" w:cs="Times New Roman"/>
        </w:rPr>
        <w:t xml:space="preserve"> </w:t>
      </w:r>
      <w:proofErr w:type="spellStart"/>
      <w:r w:rsidRPr="00D94BCC">
        <w:rPr>
          <w:rFonts w:ascii="Book Antiqua" w:hAnsi="Book Antiqua" w:cs="Times New Roman"/>
        </w:rPr>
        <w:t>Manajemen</w:t>
      </w:r>
      <w:proofErr w:type="spellEnd"/>
      <w:r w:rsidRPr="00D94BCC">
        <w:rPr>
          <w:rFonts w:ascii="Book Antiqua" w:hAnsi="Book Antiqua" w:cs="Times New Roman"/>
        </w:rPr>
        <w:t xml:space="preserve"> </w:t>
      </w:r>
      <w:proofErr w:type="spellStart"/>
      <w:r w:rsidRPr="00D94BCC">
        <w:rPr>
          <w:rFonts w:ascii="Book Antiqua" w:hAnsi="Book Antiqua" w:cs="Times New Roman"/>
        </w:rPr>
        <w:t>Forkamma</w:t>
      </w:r>
      <w:proofErr w:type="spellEnd"/>
      <w:r w:rsidRPr="00D94BCC">
        <w:rPr>
          <w:rFonts w:ascii="Book Antiqua" w:hAnsi="Book Antiqua" w:cs="Times New Roman"/>
        </w:rPr>
        <w:t>, 2(3), 62–67.</w:t>
      </w:r>
    </w:p>
    <w:p w14:paraId="3BFD0407" w14:textId="77777777" w:rsidR="005B3877" w:rsidRDefault="00C15F22" w:rsidP="005B3877">
      <w:pPr>
        <w:spacing w:line="240" w:lineRule="auto"/>
        <w:ind w:left="567" w:hanging="567"/>
        <w:jc w:val="both"/>
        <w:rPr>
          <w:rFonts w:ascii="Book Antiqua" w:hAnsi="Book Antiqua" w:cs="Times New Roman"/>
        </w:rPr>
      </w:pPr>
      <w:proofErr w:type="spellStart"/>
      <w:r w:rsidRPr="00D94BCC">
        <w:rPr>
          <w:rFonts w:ascii="Book Antiqua" w:hAnsi="Book Antiqua" w:cs="Times New Roman"/>
        </w:rPr>
        <w:t>Sugiyono</w:t>
      </w:r>
      <w:proofErr w:type="spellEnd"/>
      <w:r w:rsidRPr="00D94BCC">
        <w:rPr>
          <w:rFonts w:ascii="Book Antiqua" w:hAnsi="Book Antiqua" w:cs="Times New Roman"/>
        </w:rPr>
        <w:t xml:space="preserve">. (2019). </w:t>
      </w:r>
      <w:proofErr w:type="spellStart"/>
      <w:r w:rsidRPr="00D94BCC">
        <w:rPr>
          <w:rFonts w:ascii="Book Antiqua" w:hAnsi="Book Antiqua" w:cs="Times New Roman"/>
        </w:rPr>
        <w:t>Metode</w:t>
      </w:r>
      <w:proofErr w:type="spellEnd"/>
      <w:r w:rsidRPr="00D94BCC">
        <w:rPr>
          <w:rFonts w:ascii="Book Antiqua" w:hAnsi="Book Antiqua" w:cs="Times New Roman"/>
        </w:rPr>
        <w:t xml:space="preserve"> </w:t>
      </w:r>
      <w:proofErr w:type="spellStart"/>
      <w:r w:rsidRPr="00D94BCC">
        <w:rPr>
          <w:rFonts w:ascii="Book Antiqua" w:hAnsi="Book Antiqua" w:cs="Times New Roman"/>
        </w:rPr>
        <w:t>Penelitian</w:t>
      </w:r>
      <w:proofErr w:type="spellEnd"/>
      <w:r w:rsidRPr="00D94BCC">
        <w:rPr>
          <w:rFonts w:ascii="Book Antiqua" w:hAnsi="Book Antiqua" w:cs="Times New Roman"/>
        </w:rPr>
        <w:t xml:space="preserve"> </w:t>
      </w:r>
      <w:proofErr w:type="spellStart"/>
      <w:r w:rsidRPr="00D94BCC">
        <w:rPr>
          <w:rFonts w:ascii="Book Antiqua" w:hAnsi="Book Antiqua" w:cs="Times New Roman"/>
        </w:rPr>
        <w:t>Kuantitatif</w:t>
      </w:r>
      <w:proofErr w:type="spellEnd"/>
      <w:r w:rsidRPr="00D94BCC">
        <w:rPr>
          <w:rFonts w:ascii="Book Antiqua" w:hAnsi="Book Antiqua" w:cs="Times New Roman"/>
        </w:rPr>
        <w:t xml:space="preserve">, </w:t>
      </w:r>
      <w:proofErr w:type="spellStart"/>
      <w:r w:rsidRPr="00D94BCC">
        <w:rPr>
          <w:rFonts w:ascii="Book Antiqua" w:hAnsi="Book Antiqua" w:cs="Times New Roman"/>
        </w:rPr>
        <w:t>Kualitatif</w:t>
      </w:r>
      <w:proofErr w:type="spellEnd"/>
      <w:r w:rsidRPr="00D94BCC">
        <w:rPr>
          <w:rFonts w:ascii="Book Antiqua" w:hAnsi="Book Antiqua" w:cs="Times New Roman"/>
        </w:rPr>
        <w:t xml:space="preserve">, dan R&amp;D. Bandung: </w:t>
      </w:r>
      <w:proofErr w:type="spellStart"/>
      <w:r w:rsidRPr="00D94BCC">
        <w:rPr>
          <w:rFonts w:ascii="Book Antiqua" w:hAnsi="Book Antiqua" w:cs="Times New Roman"/>
        </w:rPr>
        <w:t>Alfabeta</w:t>
      </w:r>
      <w:proofErr w:type="spellEnd"/>
      <w:r w:rsidRPr="00D94BCC">
        <w:rPr>
          <w:rFonts w:ascii="Book Antiqua" w:hAnsi="Book Antiqua" w:cs="Times New Roman"/>
        </w:rPr>
        <w:t>.</w:t>
      </w:r>
    </w:p>
    <w:p w14:paraId="4EBE8B42" w14:textId="77777777" w:rsidR="005B3877" w:rsidRDefault="00C15F22" w:rsidP="005B3877">
      <w:pPr>
        <w:spacing w:line="240" w:lineRule="auto"/>
        <w:ind w:left="567" w:hanging="567"/>
        <w:jc w:val="both"/>
        <w:rPr>
          <w:rFonts w:ascii="Book Antiqua" w:hAnsi="Book Antiqua" w:cs="Times New Roman"/>
        </w:rPr>
      </w:pPr>
      <w:proofErr w:type="spellStart"/>
      <w:r w:rsidRPr="00D94BCC">
        <w:rPr>
          <w:rFonts w:ascii="Book Antiqua" w:hAnsi="Book Antiqua" w:cs="Times New Roman"/>
        </w:rPr>
        <w:t>Susianti</w:t>
      </w:r>
      <w:proofErr w:type="spellEnd"/>
      <w:r w:rsidRPr="00D94BCC">
        <w:rPr>
          <w:rFonts w:ascii="Book Antiqua" w:hAnsi="Book Antiqua" w:cs="Times New Roman"/>
        </w:rPr>
        <w:t xml:space="preserve">, I. (2018). </w:t>
      </w:r>
      <w:proofErr w:type="spellStart"/>
      <w:r w:rsidRPr="00D94BCC">
        <w:rPr>
          <w:rFonts w:ascii="Book Antiqua" w:hAnsi="Book Antiqua" w:cs="Times New Roman"/>
        </w:rPr>
        <w:t>Analisis</w:t>
      </w:r>
      <w:proofErr w:type="spellEnd"/>
      <w:r w:rsidRPr="00D94BCC">
        <w:rPr>
          <w:rFonts w:ascii="Book Antiqua" w:hAnsi="Book Antiqua" w:cs="Times New Roman"/>
        </w:rPr>
        <w:t xml:space="preserve"> </w:t>
      </w:r>
      <w:proofErr w:type="spellStart"/>
      <w:r w:rsidRPr="00D94BCC">
        <w:rPr>
          <w:rFonts w:ascii="Book Antiqua" w:hAnsi="Book Antiqua" w:cs="Times New Roman"/>
        </w:rPr>
        <w:t>Laporan</w:t>
      </w:r>
      <w:proofErr w:type="spellEnd"/>
      <w:r w:rsidRPr="00D94BCC">
        <w:rPr>
          <w:rFonts w:ascii="Book Antiqua" w:hAnsi="Book Antiqua" w:cs="Times New Roman"/>
        </w:rPr>
        <w:t xml:space="preserve"> </w:t>
      </w:r>
      <w:proofErr w:type="spellStart"/>
      <w:r w:rsidRPr="00D94BCC">
        <w:rPr>
          <w:rFonts w:ascii="Book Antiqua" w:hAnsi="Book Antiqua" w:cs="Times New Roman"/>
        </w:rPr>
        <w:t>Keuangan</w:t>
      </w:r>
      <w:proofErr w:type="spellEnd"/>
      <w:r w:rsidRPr="00D94BCC">
        <w:rPr>
          <w:rFonts w:ascii="Book Antiqua" w:hAnsi="Book Antiqua" w:cs="Times New Roman"/>
        </w:rPr>
        <w:t xml:space="preserve"> </w:t>
      </w:r>
      <w:proofErr w:type="spellStart"/>
      <w:r w:rsidRPr="00D94BCC">
        <w:rPr>
          <w:rFonts w:ascii="Book Antiqua" w:hAnsi="Book Antiqua" w:cs="Times New Roman"/>
        </w:rPr>
        <w:t>untuk</w:t>
      </w:r>
      <w:proofErr w:type="spellEnd"/>
      <w:r w:rsidRPr="00D94BCC">
        <w:rPr>
          <w:rFonts w:ascii="Book Antiqua" w:hAnsi="Book Antiqua" w:cs="Times New Roman"/>
        </w:rPr>
        <w:t xml:space="preserve"> </w:t>
      </w:r>
      <w:proofErr w:type="spellStart"/>
      <w:r w:rsidRPr="00D94BCC">
        <w:rPr>
          <w:rFonts w:ascii="Book Antiqua" w:hAnsi="Book Antiqua" w:cs="Times New Roman"/>
        </w:rPr>
        <w:t>Menilai</w:t>
      </w:r>
      <w:proofErr w:type="spellEnd"/>
      <w:r w:rsidRPr="00D94BCC">
        <w:rPr>
          <w:rFonts w:ascii="Book Antiqua" w:hAnsi="Book Antiqua" w:cs="Times New Roman"/>
        </w:rPr>
        <w:t xml:space="preserve"> </w:t>
      </w:r>
      <w:proofErr w:type="spellStart"/>
      <w:r w:rsidRPr="00D94BCC">
        <w:rPr>
          <w:rFonts w:ascii="Book Antiqua" w:hAnsi="Book Antiqua" w:cs="Times New Roman"/>
        </w:rPr>
        <w:t>Kinerja</w:t>
      </w:r>
      <w:proofErr w:type="spellEnd"/>
      <w:r w:rsidRPr="00D94BCC">
        <w:rPr>
          <w:rFonts w:ascii="Book Antiqua" w:hAnsi="Book Antiqua" w:cs="Times New Roman"/>
        </w:rPr>
        <w:t xml:space="preserve"> </w:t>
      </w:r>
      <w:proofErr w:type="spellStart"/>
      <w:r w:rsidRPr="00D94BCC">
        <w:rPr>
          <w:rFonts w:ascii="Book Antiqua" w:hAnsi="Book Antiqua" w:cs="Times New Roman"/>
        </w:rPr>
        <w:t>Keuangan</w:t>
      </w:r>
      <w:proofErr w:type="spellEnd"/>
      <w:r w:rsidRPr="00D94BCC">
        <w:rPr>
          <w:rFonts w:ascii="Book Antiqua" w:hAnsi="Book Antiqua" w:cs="Times New Roman"/>
        </w:rPr>
        <w:t xml:space="preserve"> pada PT Gudang Garam </w:t>
      </w:r>
      <w:proofErr w:type="spellStart"/>
      <w:r w:rsidRPr="00D94BCC">
        <w:rPr>
          <w:rFonts w:ascii="Book Antiqua" w:hAnsi="Book Antiqua" w:cs="Times New Roman"/>
        </w:rPr>
        <w:t>Tbk</w:t>
      </w:r>
      <w:proofErr w:type="spellEnd"/>
      <w:r w:rsidRPr="00D94BCC">
        <w:rPr>
          <w:rFonts w:ascii="Book Antiqua" w:hAnsi="Book Antiqua" w:cs="Times New Roman"/>
        </w:rPr>
        <w:t xml:space="preserve"> </w:t>
      </w:r>
      <w:proofErr w:type="spellStart"/>
      <w:r w:rsidRPr="00D94BCC">
        <w:rPr>
          <w:rFonts w:ascii="Book Antiqua" w:hAnsi="Book Antiqua" w:cs="Times New Roman"/>
        </w:rPr>
        <w:t>Periode</w:t>
      </w:r>
      <w:proofErr w:type="spellEnd"/>
      <w:r w:rsidRPr="00D94BCC">
        <w:rPr>
          <w:rFonts w:ascii="Book Antiqua" w:hAnsi="Book Antiqua" w:cs="Times New Roman"/>
        </w:rPr>
        <w:t xml:space="preserve"> 2013–2015. </w:t>
      </w:r>
      <w:proofErr w:type="spellStart"/>
      <w:r w:rsidRPr="00D94BCC">
        <w:rPr>
          <w:rFonts w:ascii="Book Antiqua" w:hAnsi="Book Antiqua" w:cs="Times New Roman"/>
        </w:rPr>
        <w:t>Jurnal</w:t>
      </w:r>
      <w:proofErr w:type="spellEnd"/>
      <w:r w:rsidRPr="00D94BCC">
        <w:rPr>
          <w:rFonts w:ascii="Book Antiqua" w:hAnsi="Book Antiqua" w:cs="Times New Roman"/>
        </w:rPr>
        <w:t xml:space="preserve"> </w:t>
      </w:r>
      <w:proofErr w:type="spellStart"/>
      <w:r w:rsidRPr="00D94BCC">
        <w:rPr>
          <w:rFonts w:ascii="Book Antiqua" w:hAnsi="Book Antiqua" w:cs="Times New Roman"/>
        </w:rPr>
        <w:t>Simki</w:t>
      </w:r>
      <w:proofErr w:type="spellEnd"/>
      <w:r w:rsidRPr="00D94BCC">
        <w:rPr>
          <w:rFonts w:ascii="Book Antiqua" w:hAnsi="Book Antiqua" w:cs="Times New Roman"/>
        </w:rPr>
        <w:t xml:space="preserve"> Economic, 2(2).</w:t>
      </w:r>
    </w:p>
    <w:p w14:paraId="37502D57" w14:textId="61CB490E" w:rsidR="00C15F22" w:rsidRDefault="00C15F22" w:rsidP="005B3877">
      <w:pPr>
        <w:spacing w:line="240" w:lineRule="auto"/>
        <w:ind w:left="567" w:hanging="567"/>
        <w:jc w:val="both"/>
        <w:rPr>
          <w:rFonts w:ascii="Book Antiqua" w:hAnsi="Book Antiqua" w:cs="Times New Roman"/>
        </w:rPr>
      </w:pPr>
      <w:r w:rsidRPr="00D94BCC">
        <w:rPr>
          <w:rFonts w:ascii="Book Antiqua" w:hAnsi="Book Antiqua" w:cs="Times New Roman"/>
        </w:rPr>
        <w:t xml:space="preserve">Wibowo, B. T. (2020). </w:t>
      </w:r>
      <w:proofErr w:type="spellStart"/>
      <w:r w:rsidRPr="00D94BCC">
        <w:rPr>
          <w:rFonts w:ascii="Book Antiqua" w:hAnsi="Book Antiqua" w:cs="Times New Roman"/>
        </w:rPr>
        <w:t>Analisis</w:t>
      </w:r>
      <w:proofErr w:type="spellEnd"/>
      <w:r w:rsidRPr="00D94BCC">
        <w:rPr>
          <w:rFonts w:ascii="Book Antiqua" w:hAnsi="Book Antiqua" w:cs="Times New Roman"/>
        </w:rPr>
        <w:t xml:space="preserve"> </w:t>
      </w:r>
      <w:proofErr w:type="spellStart"/>
      <w:r w:rsidRPr="00D94BCC">
        <w:rPr>
          <w:rFonts w:ascii="Book Antiqua" w:hAnsi="Book Antiqua" w:cs="Times New Roman"/>
        </w:rPr>
        <w:t>Laporan</w:t>
      </w:r>
      <w:proofErr w:type="spellEnd"/>
      <w:r w:rsidRPr="00D94BCC">
        <w:rPr>
          <w:rFonts w:ascii="Book Antiqua" w:hAnsi="Book Antiqua" w:cs="Times New Roman"/>
        </w:rPr>
        <w:t xml:space="preserve"> </w:t>
      </w:r>
      <w:proofErr w:type="spellStart"/>
      <w:r w:rsidRPr="00D94BCC">
        <w:rPr>
          <w:rFonts w:ascii="Book Antiqua" w:hAnsi="Book Antiqua" w:cs="Times New Roman"/>
        </w:rPr>
        <w:t>Keuangan</w:t>
      </w:r>
      <w:proofErr w:type="spellEnd"/>
      <w:r w:rsidRPr="00D94BCC">
        <w:rPr>
          <w:rFonts w:ascii="Book Antiqua" w:hAnsi="Book Antiqua" w:cs="Times New Roman"/>
        </w:rPr>
        <w:t xml:space="preserve"> </w:t>
      </w:r>
      <w:proofErr w:type="spellStart"/>
      <w:r w:rsidRPr="00D94BCC">
        <w:rPr>
          <w:rFonts w:ascii="Book Antiqua" w:hAnsi="Book Antiqua" w:cs="Times New Roman"/>
        </w:rPr>
        <w:t>untuk</w:t>
      </w:r>
      <w:proofErr w:type="spellEnd"/>
      <w:r w:rsidRPr="00D94BCC">
        <w:rPr>
          <w:rFonts w:ascii="Book Antiqua" w:hAnsi="Book Antiqua" w:cs="Times New Roman"/>
        </w:rPr>
        <w:t xml:space="preserve"> </w:t>
      </w:r>
      <w:proofErr w:type="spellStart"/>
      <w:r w:rsidRPr="00D94BCC">
        <w:rPr>
          <w:rFonts w:ascii="Book Antiqua" w:hAnsi="Book Antiqua" w:cs="Times New Roman"/>
        </w:rPr>
        <w:t>Mengukur</w:t>
      </w:r>
      <w:proofErr w:type="spellEnd"/>
      <w:r w:rsidRPr="00D94BCC">
        <w:rPr>
          <w:rFonts w:ascii="Book Antiqua" w:hAnsi="Book Antiqua" w:cs="Times New Roman"/>
        </w:rPr>
        <w:t xml:space="preserve"> </w:t>
      </w:r>
      <w:proofErr w:type="spellStart"/>
      <w:r w:rsidRPr="00D94BCC">
        <w:rPr>
          <w:rFonts w:ascii="Book Antiqua" w:hAnsi="Book Antiqua" w:cs="Times New Roman"/>
        </w:rPr>
        <w:t>Kinerja</w:t>
      </w:r>
      <w:proofErr w:type="spellEnd"/>
      <w:r w:rsidRPr="00D94BCC">
        <w:rPr>
          <w:rFonts w:ascii="Book Antiqua" w:hAnsi="Book Antiqua" w:cs="Times New Roman"/>
        </w:rPr>
        <w:t xml:space="preserve"> </w:t>
      </w:r>
      <w:proofErr w:type="spellStart"/>
      <w:r w:rsidRPr="00D94BCC">
        <w:rPr>
          <w:rFonts w:ascii="Book Antiqua" w:hAnsi="Book Antiqua" w:cs="Times New Roman"/>
        </w:rPr>
        <w:t>Keuangan</w:t>
      </w:r>
      <w:proofErr w:type="spellEnd"/>
      <w:r w:rsidRPr="00D94BCC">
        <w:rPr>
          <w:rFonts w:ascii="Book Antiqua" w:hAnsi="Book Antiqua" w:cs="Times New Roman"/>
        </w:rPr>
        <w:t xml:space="preserve"> PT </w:t>
      </w:r>
      <w:proofErr w:type="spellStart"/>
      <w:r w:rsidRPr="00D94BCC">
        <w:rPr>
          <w:rFonts w:ascii="Book Antiqua" w:hAnsi="Book Antiqua" w:cs="Times New Roman"/>
        </w:rPr>
        <w:t>Intan</w:t>
      </w:r>
      <w:proofErr w:type="spellEnd"/>
      <w:r w:rsidRPr="00D94BCC">
        <w:rPr>
          <w:rFonts w:ascii="Book Antiqua" w:hAnsi="Book Antiqua" w:cs="Times New Roman"/>
        </w:rPr>
        <w:t xml:space="preserve"> </w:t>
      </w:r>
      <w:proofErr w:type="spellStart"/>
      <w:r w:rsidRPr="00D94BCC">
        <w:rPr>
          <w:rFonts w:ascii="Book Antiqua" w:hAnsi="Book Antiqua" w:cs="Times New Roman"/>
        </w:rPr>
        <w:t>Segara</w:t>
      </w:r>
      <w:proofErr w:type="spellEnd"/>
      <w:r w:rsidRPr="00D94BCC">
        <w:rPr>
          <w:rFonts w:ascii="Book Antiqua" w:hAnsi="Book Antiqua" w:cs="Times New Roman"/>
        </w:rPr>
        <w:t xml:space="preserve"> Semarang </w:t>
      </w:r>
      <w:proofErr w:type="spellStart"/>
      <w:r w:rsidRPr="00D94BCC">
        <w:rPr>
          <w:rFonts w:ascii="Book Antiqua" w:hAnsi="Book Antiqua" w:cs="Times New Roman"/>
        </w:rPr>
        <w:t>dalam</w:t>
      </w:r>
      <w:proofErr w:type="spellEnd"/>
      <w:r w:rsidRPr="00D94BCC">
        <w:rPr>
          <w:rFonts w:ascii="Book Antiqua" w:hAnsi="Book Antiqua" w:cs="Times New Roman"/>
        </w:rPr>
        <w:t xml:space="preserve"> </w:t>
      </w:r>
      <w:proofErr w:type="spellStart"/>
      <w:r w:rsidRPr="00D94BCC">
        <w:rPr>
          <w:rFonts w:ascii="Book Antiqua" w:hAnsi="Book Antiqua" w:cs="Times New Roman"/>
        </w:rPr>
        <w:t>Pandemi</w:t>
      </w:r>
      <w:proofErr w:type="spellEnd"/>
      <w:r w:rsidRPr="00D94BCC">
        <w:rPr>
          <w:rFonts w:ascii="Book Antiqua" w:hAnsi="Book Antiqua" w:cs="Times New Roman"/>
        </w:rPr>
        <w:t xml:space="preserve"> COVID-19. </w:t>
      </w:r>
      <w:proofErr w:type="spellStart"/>
      <w:r w:rsidRPr="00D94BCC">
        <w:rPr>
          <w:rFonts w:ascii="Book Antiqua" w:hAnsi="Book Antiqua" w:cs="Times New Roman"/>
        </w:rPr>
        <w:t>Jurnal</w:t>
      </w:r>
      <w:proofErr w:type="spellEnd"/>
      <w:r w:rsidRPr="00D94BCC">
        <w:rPr>
          <w:rFonts w:ascii="Book Antiqua" w:hAnsi="Book Antiqua" w:cs="Times New Roman"/>
        </w:rPr>
        <w:t xml:space="preserve"> </w:t>
      </w:r>
      <w:proofErr w:type="spellStart"/>
      <w:r w:rsidRPr="00D94BCC">
        <w:rPr>
          <w:rFonts w:ascii="Book Antiqua" w:hAnsi="Book Antiqua" w:cs="Times New Roman"/>
        </w:rPr>
        <w:t>Ekonomi</w:t>
      </w:r>
      <w:proofErr w:type="spellEnd"/>
      <w:r w:rsidRPr="00D94BCC">
        <w:rPr>
          <w:rFonts w:ascii="Book Antiqua" w:hAnsi="Book Antiqua" w:cs="Times New Roman"/>
        </w:rPr>
        <w:t xml:space="preserve"> dan </w:t>
      </w:r>
      <w:proofErr w:type="spellStart"/>
      <w:r w:rsidRPr="00D94BCC">
        <w:rPr>
          <w:rFonts w:ascii="Book Antiqua" w:hAnsi="Book Antiqua" w:cs="Times New Roman"/>
        </w:rPr>
        <w:t>Bisnis</w:t>
      </w:r>
      <w:proofErr w:type="spellEnd"/>
      <w:r w:rsidRPr="00D94BCC">
        <w:rPr>
          <w:rFonts w:ascii="Book Antiqua" w:hAnsi="Book Antiqua" w:cs="Times New Roman"/>
        </w:rPr>
        <w:t xml:space="preserve"> STIE </w:t>
      </w:r>
      <w:proofErr w:type="spellStart"/>
      <w:r w:rsidRPr="00D94BCC">
        <w:rPr>
          <w:rFonts w:ascii="Book Antiqua" w:hAnsi="Book Antiqua" w:cs="Times New Roman"/>
        </w:rPr>
        <w:t>Anindyaguna</w:t>
      </w:r>
      <w:proofErr w:type="spellEnd"/>
      <w:r w:rsidRPr="00D94BCC">
        <w:rPr>
          <w:rFonts w:ascii="Book Antiqua" w:hAnsi="Book Antiqua" w:cs="Times New Roman"/>
        </w:rPr>
        <w:t>, 2(2), 118–130.</w:t>
      </w:r>
    </w:p>
    <w:p w14:paraId="073CF2E4" w14:textId="77777777" w:rsidR="00DD5B64" w:rsidRDefault="00DD5B64" w:rsidP="00DA1A16">
      <w:pPr>
        <w:spacing w:line="240" w:lineRule="auto"/>
        <w:jc w:val="both"/>
        <w:rPr>
          <w:rFonts w:ascii="Book Antiqua" w:hAnsi="Book Antiqua" w:cs="Times New Roman"/>
        </w:rPr>
      </w:pPr>
    </w:p>
    <w:p w14:paraId="2C2F8328" w14:textId="77777777" w:rsidR="00DD5B64" w:rsidRPr="00D94BCC" w:rsidRDefault="00DD5B64" w:rsidP="00DA1A16">
      <w:pPr>
        <w:spacing w:line="240" w:lineRule="auto"/>
        <w:jc w:val="both"/>
        <w:rPr>
          <w:rFonts w:ascii="Book Antiqua" w:hAnsi="Book Antiqua" w:cs="Times New Roman"/>
        </w:rPr>
      </w:pPr>
    </w:p>
    <w:sectPr w:rsidR="00DD5B64" w:rsidRPr="00D94BCC" w:rsidSect="007844B8">
      <w:headerReference w:type="even" r:id="rId21"/>
      <w:headerReference w:type="default" r:id="rId22"/>
      <w:footerReference w:type="even" r:id="rId23"/>
      <w:footerReference w:type="default" r:id="rId24"/>
      <w:headerReference w:type="first" r:id="rId25"/>
      <w:footerReference w:type="first" r:id="rId26"/>
      <w:pgSz w:w="11906" w:h="16838" w:code="9"/>
      <w:pgMar w:top="1440" w:right="1440" w:bottom="1440" w:left="1701" w:header="720" w:footer="720" w:gutter="0"/>
      <w:pgNumType w:start="18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144AF" w14:textId="77777777" w:rsidR="00C07D9E" w:rsidRDefault="00C07D9E" w:rsidP="00C72B4E">
      <w:pPr>
        <w:spacing w:after="0" w:line="240" w:lineRule="auto"/>
      </w:pPr>
      <w:r>
        <w:separator/>
      </w:r>
    </w:p>
  </w:endnote>
  <w:endnote w:type="continuationSeparator" w:id="0">
    <w:p w14:paraId="1FA9502F" w14:textId="77777777" w:rsidR="00C07D9E" w:rsidRDefault="00C07D9E" w:rsidP="00C72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4E5D9" w14:textId="77777777" w:rsidR="007844B8" w:rsidRDefault="007844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599274"/>
      <w:docPartObj>
        <w:docPartGallery w:val="Page Numbers (Bottom of Page)"/>
        <w:docPartUnique/>
      </w:docPartObj>
    </w:sdtPr>
    <w:sdtEndPr>
      <w:rPr>
        <w:noProof/>
      </w:rPr>
    </w:sdtEndPr>
    <w:sdtContent>
      <w:bookmarkStart w:id="0" w:name="_GoBack" w:displacedByCustomXml="prev"/>
      <w:bookmarkEnd w:id="0" w:displacedByCustomXml="prev"/>
      <w:p w14:paraId="1D31EBE8" w14:textId="25C4FF7E" w:rsidR="007844B8" w:rsidRDefault="007844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4A555B" w14:textId="77777777" w:rsidR="007844B8" w:rsidRDefault="007844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20052" w14:textId="77777777" w:rsidR="007844B8" w:rsidRDefault="00784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9DFCA" w14:textId="77777777" w:rsidR="00C07D9E" w:rsidRDefault="00C07D9E" w:rsidP="00C72B4E">
      <w:pPr>
        <w:spacing w:after="0" w:line="240" w:lineRule="auto"/>
      </w:pPr>
      <w:r>
        <w:separator/>
      </w:r>
    </w:p>
  </w:footnote>
  <w:footnote w:type="continuationSeparator" w:id="0">
    <w:p w14:paraId="04AF7F8C" w14:textId="77777777" w:rsidR="00C07D9E" w:rsidRDefault="00C07D9E" w:rsidP="00C72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292F3" w14:textId="77777777" w:rsidR="007844B8" w:rsidRDefault="007844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910" w:type="dxa"/>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4"/>
      <w:gridCol w:w="6036"/>
    </w:tblGrid>
    <w:tr w:rsidR="00C72B4E" w14:paraId="46598E11" w14:textId="77777777" w:rsidTr="00295FCD">
      <w:tc>
        <w:tcPr>
          <w:tcW w:w="2874" w:type="dxa"/>
        </w:tcPr>
        <w:p w14:paraId="500B821C" w14:textId="77777777" w:rsidR="00C72B4E" w:rsidRDefault="00C72B4E" w:rsidP="00C72B4E">
          <w:pPr>
            <w:rPr>
              <w:rFonts w:ascii="Book Antiqua" w:hAnsi="Book Antiqua" w:cs="Book Antiqua"/>
            </w:rPr>
          </w:pPr>
          <w:r>
            <w:rPr>
              <w:rFonts w:ascii="Book Antiqua" w:hAnsi="Book Antiqua" w:cs="Book Antiqua"/>
              <w:noProof/>
            </w:rPr>
            <w:drawing>
              <wp:inline distT="0" distB="0" distL="114300" distR="114300" wp14:anchorId="023B364C" wp14:editId="349EB071">
                <wp:extent cx="1756410" cy="731520"/>
                <wp:effectExtent l="0" t="0" r="15240" b="11430"/>
                <wp:docPr id="929589156" name="Picture 929589156" descr="Logo Icomb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mbec"/>
                        <pic:cNvPicPr>
                          <a:picLocks noChangeAspect="1"/>
                        </pic:cNvPicPr>
                      </pic:nvPicPr>
                      <pic:blipFill>
                        <a:blip r:embed="rId1"/>
                        <a:srcRect t="27639" b="30694"/>
                        <a:stretch>
                          <a:fillRect/>
                        </a:stretch>
                      </pic:blipFill>
                      <pic:spPr>
                        <a:xfrm>
                          <a:off x="0" y="0"/>
                          <a:ext cx="1756410" cy="731520"/>
                        </a:xfrm>
                        <a:prstGeom prst="rect">
                          <a:avLst/>
                        </a:prstGeom>
                      </pic:spPr>
                    </pic:pic>
                  </a:graphicData>
                </a:graphic>
              </wp:inline>
            </w:drawing>
          </w:r>
        </w:p>
      </w:tc>
      <w:tc>
        <w:tcPr>
          <w:tcW w:w="6036" w:type="dxa"/>
        </w:tcPr>
        <w:p w14:paraId="648B566B" w14:textId="77777777" w:rsidR="00C72B4E" w:rsidRDefault="00C72B4E" w:rsidP="00C72B4E">
          <w:pPr>
            <w:rPr>
              <w:rFonts w:ascii="Book Antiqua" w:hAnsi="Book Antiqua"/>
              <w:b/>
              <w:bCs/>
              <w:color w:val="002060"/>
              <w:sz w:val="28"/>
              <w:szCs w:val="28"/>
            </w:rPr>
          </w:pPr>
          <w:r>
            <w:rPr>
              <w:rFonts w:ascii="Book Antiqua" w:hAnsi="Book Antiqua"/>
              <w:b/>
              <w:bCs/>
              <w:color w:val="002060"/>
              <w:sz w:val="28"/>
              <w:szCs w:val="28"/>
            </w:rPr>
            <w:t>1</w:t>
          </w:r>
          <w:r>
            <w:rPr>
              <w:rFonts w:ascii="Book Antiqua" w:hAnsi="Book Antiqua"/>
              <w:b/>
              <w:bCs/>
              <w:color w:val="002060"/>
              <w:sz w:val="28"/>
              <w:szCs w:val="28"/>
              <w:vertAlign w:val="superscript"/>
            </w:rPr>
            <w:t>st</w:t>
          </w:r>
          <w:r>
            <w:rPr>
              <w:rFonts w:ascii="Book Antiqua" w:hAnsi="Book Antiqua"/>
              <w:b/>
              <w:bCs/>
              <w:color w:val="002060"/>
              <w:sz w:val="28"/>
              <w:szCs w:val="28"/>
            </w:rPr>
            <w:t xml:space="preserve"> International Conference on Management, Business and Economy (</w:t>
          </w:r>
          <w:proofErr w:type="spellStart"/>
          <w:r>
            <w:rPr>
              <w:rFonts w:ascii="Book Antiqua" w:hAnsi="Book Antiqua"/>
              <w:b/>
              <w:bCs/>
              <w:color w:val="002060"/>
              <w:sz w:val="28"/>
              <w:szCs w:val="28"/>
            </w:rPr>
            <w:t>ICoMBEc</w:t>
          </w:r>
          <w:proofErr w:type="spellEnd"/>
          <w:r>
            <w:rPr>
              <w:rFonts w:ascii="Book Antiqua" w:hAnsi="Book Antiqua"/>
              <w:b/>
              <w:bCs/>
              <w:color w:val="002060"/>
              <w:sz w:val="28"/>
              <w:szCs w:val="28"/>
            </w:rPr>
            <w:t xml:space="preserve"> 2025)</w:t>
          </w:r>
        </w:p>
        <w:p w14:paraId="507F3670" w14:textId="77777777" w:rsidR="00C72B4E" w:rsidRDefault="00C72B4E" w:rsidP="00C72B4E">
          <w:pPr>
            <w:rPr>
              <w:rFonts w:ascii="Book Antiqua" w:hAnsi="Book Antiqua"/>
              <w:color w:val="5B9BD5" w:themeColor="accent5"/>
              <w:sz w:val="20"/>
              <w:szCs w:val="20"/>
            </w:rPr>
          </w:pPr>
          <w:r>
            <w:rPr>
              <w:rFonts w:ascii="Book Antiqua" w:hAnsi="Book Antiqua"/>
              <w:color w:val="5B9BD5" w:themeColor="accent5"/>
              <w:sz w:val="20"/>
              <w:szCs w:val="20"/>
            </w:rPr>
            <w:t>Vo. 1 No. 1 2025</w:t>
          </w:r>
        </w:p>
        <w:p w14:paraId="3B585249" w14:textId="77777777" w:rsidR="00C72B4E" w:rsidRDefault="00C72B4E" w:rsidP="00C72B4E">
          <w:pPr>
            <w:rPr>
              <w:rFonts w:ascii="Book Antiqua" w:hAnsi="Book Antiqua"/>
              <w:sz w:val="28"/>
              <w:szCs w:val="28"/>
            </w:rPr>
          </w:pPr>
          <w:r>
            <w:rPr>
              <w:rFonts w:ascii="Book Antiqua" w:hAnsi="Book Antiqua"/>
              <w:color w:val="5B9BD5" w:themeColor="accent5"/>
              <w:sz w:val="20"/>
              <w:szCs w:val="20"/>
            </w:rPr>
            <w:t>e-</w:t>
          </w:r>
          <w:proofErr w:type="gramStart"/>
          <w:r>
            <w:rPr>
              <w:rFonts w:ascii="Book Antiqua" w:hAnsi="Book Antiqua"/>
              <w:color w:val="5B9BD5" w:themeColor="accent5"/>
              <w:sz w:val="20"/>
              <w:szCs w:val="20"/>
            </w:rPr>
            <w:t>ISSN :</w:t>
          </w:r>
          <w:proofErr w:type="gramEnd"/>
          <w:r>
            <w:rPr>
              <w:rFonts w:ascii="Book Antiqua" w:hAnsi="Book Antiqua"/>
              <w:color w:val="5B9BD5" w:themeColor="accent5"/>
              <w:sz w:val="20"/>
              <w:szCs w:val="20"/>
            </w:rPr>
            <w:t xml:space="preserve"> XXXX-XXX</w:t>
          </w:r>
        </w:p>
      </w:tc>
    </w:tr>
  </w:tbl>
  <w:p w14:paraId="1407C90A" w14:textId="77777777" w:rsidR="00C72B4E" w:rsidRDefault="00C72B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EBE4F" w14:textId="77777777" w:rsidR="007844B8" w:rsidRDefault="007844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5B7B"/>
    <w:multiLevelType w:val="hybridMultilevel"/>
    <w:tmpl w:val="117AE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E7677"/>
    <w:multiLevelType w:val="hybridMultilevel"/>
    <w:tmpl w:val="14DA4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02619"/>
    <w:multiLevelType w:val="hybridMultilevel"/>
    <w:tmpl w:val="E83029F0"/>
    <w:lvl w:ilvl="0" w:tplc="8D0475B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B0A26AB"/>
    <w:multiLevelType w:val="hybridMultilevel"/>
    <w:tmpl w:val="6A86349C"/>
    <w:lvl w:ilvl="0" w:tplc="7E7252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8A597B"/>
    <w:multiLevelType w:val="hybridMultilevel"/>
    <w:tmpl w:val="43709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327EE"/>
    <w:multiLevelType w:val="hybridMultilevel"/>
    <w:tmpl w:val="88E4FEF2"/>
    <w:lvl w:ilvl="0" w:tplc="957418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082AE7"/>
    <w:multiLevelType w:val="hybridMultilevel"/>
    <w:tmpl w:val="6F1AA61A"/>
    <w:lvl w:ilvl="0" w:tplc="BBDEDF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743EAB"/>
    <w:multiLevelType w:val="hybridMultilevel"/>
    <w:tmpl w:val="CFC412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441D81"/>
    <w:multiLevelType w:val="hybridMultilevel"/>
    <w:tmpl w:val="033EB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B75D80"/>
    <w:multiLevelType w:val="hybridMultilevel"/>
    <w:tmpl w:val="0806277A"/>
    <w:lvl w:ilvl="0" w:tplc="9B8E0C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C927E1"/>
    <w:multiLevelType w:val="hybridMultilevel"/>
    <w:tmpl w:val="F2BEE578"/>
    <w:lvl w:ilvl="0" w:tplc="43EC25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3B4294"/>
    <w:multiLevelType w:val="hybridMultilevel"/>
    <w:tmpl w:val="0ECAA030"/>
    <w:lvl w:ilvl="0" w:tplc="CBAE51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B12FDF"/>
    <w:multiLevelType w:val="hybridMultilevel"/>
    <w:tmpl w:val="9F841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804D2F"/>
    <w:multiLevelType w:val="hybridMultilevel"/>
    <w:tmpl w:val="B3429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175F5B"/>
    <w:multiLevelType w:val="hybridMultilevel"/>
    <w:tmpl w:val="D55E2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44352A"/>
    <w:multiLevelType w:val="hybridMultilevel"/>
    <w:tmpl w:val="849CC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2E388D"/>
    <w:multiLevelType w:val="hybridMultilevel"/>
    <w:tmpl w:val="32C28A4C"/>
    <w:lvl w:ilvl="0" w:tplc="4D6457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55B0434"/>
    <w:multiLevelType w:val="hybridMultilevel"/>
    <w:tmpl w:val="6C72B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6F6163"/>
    <w:multiLevelType w:val="hybridMultilevel"/>
    <w:tmpl w:val="BD8C1846"/>
    <w:lvl w:ilvl="0" w:tplc="06B6D6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7"/>
  </w:num>
  <w:num w:numId="3">
    <w:abstractNumId w:val="13"/>
  </w:num>
  <w:num w:numId="4">
    <w:abstractNumId w:val="2"/>
  </w:num>
  <w:num w:numId="5">
    <w:abstractNumId w:val="4"/>
  </w:num>
  <w:num w:numId="6">
    <w:abstractNumId w:val="15"/>
  </w:num>
  <w:num w:numId="7">
    <w:abstractNumId w:val="8"/>
  </w:num>
  <w:num w:numId="8">
    <w:abstractNumId w:val="12"/>
  </w:num>
  <w:num w:numId="9">
    <w:abstractNumId w:val="17"/>
  </w:num>
  <w:num w:numId="10">
    <w:abstractNumId w:val="18"/>
  </w:num>
  <w:num w:numId="11">
    <w:abstractNumId w:val="11"/>
  </w:num>
  <w:num w:numId="12">
    <w:abstractNumId w:val="9"/>
  </w:num>
  <w:num w:numId="13">
    <w:abstractNumId w:val="3"/>
  </w:num>
  <w:num w:numId="14">
    <w:abstractNumId w:val="14"/>
  </w:num>
  <w:num w:numId="15">
    <w:abstractNumId w:val="1"/>
  </w:num>
  <w:num w:numId="16">
    <w:abstractNumId w:val="6"/>
  </w:num>
  <w:num w:numId="17">
    <w:abstractNumId w:val="5"/>
  </w:num>
  <w:num w:numId="18">
    <w:abstractNumId w:val="1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43A"/>
    <w:rsid w:val="00052E06"/>
    <w:rsid w:val="000D45AE"/>
    <w:rsid w:val="00191768"/>
    <w:rsid w:val="002C3D94"/>
    <w:rsid w:val="002C7CF8"/>
    <w:rsid w:val="003657D6"/>
    <w:rsid w:val="00370EFC"/>
    <w:rsid w:val="00394191"/>
    <w:rsid w:val="00466452"/>
    <w:rsid w:val="00485B26"/>
    <w:rsid w:val="004A5A3C"/>
    <w:rsid w:val="004A679E"/>
    <w:rsid w:val="00561D13"/>
    <w:rsid w:val="005B08AA"/>
    <w:rsid w:val="005B3877"/>
    <w:rsid w:val="006104EA"/>
    <w:rsid w:val="00627188"/>
    <w:rsid w:val="0064353C"/>
    <w:rsid w:val="007844B8"/>
    <w:rsid w:val="00786A14"/>
    <w:rsid w:val="007A7C9B"/>
    <w:rsid w:val="007B03F3"/>
    <w:rsid w:val="007B6F80"/>
    <w:rsid w:val="008110C6"/>
    <w:rsid w:val="00865A75"/>
    <w:rsid w:val="008D5A07"/>
    <w:rsid w:val="00A268B7"/>
    <w:rsid w:val="00A45292"/>
    <w:rsid w:val="00AA4B85"/>
    <w:rsid w:val="00B70A82"/>
    <w:rsid w:val="00BE7FD0"/>
    <w:rsid w:val="00C01DA5"/>
    <w:rsid w:val="00C07D9E"/>
    <w:rsid w:val="00C15F22"/>
    <w:rsid w:val="00C72B4E"/>
    <w:rsid w:val="00C94092"/>
    <w:rsid w:val="00CB3187"/>
    <w:rsid w:val="00D17C41"/>
    <w:rsid w:val="00D94BCC"/>
    <w:rsid w:val="00D95C1E"/>
    <w:rsid w:val="00DA1A16"/>
    <w:rsid w:val="00DB7CED"/>
    <w:rsid w:val="00DD5B64"/>
    <w:rsid w:val="00E2243A"/>
    <w:rsid w:val="00EA29E4"/>
    <w:rsid w:val="00EE5114"/>
    <w:rsid w:val="00EF14F4"/>
    <w:rsid w:val="00F06D6D"/>
    <w:rsid w:val="00F27002"/>
    <w:rsid w:val="00FA3A0E"/>
    <w:rsid w:val="00FF0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21C82"/>
  <w15:chartTrackingRefBased/>
  <w15:docId w15:val="{1D7F38D0-E78B-45DE-B461-1DE60C7CB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27188"/>
    <w:pPr>
      <w:keepNext/>
      <w:keepLines/>
      <w:spacing w:before="360" w:after="80"/>
      <w:jc w:val="center"/>
      <w:outlineLvl w:val="0"/>
    </w:pPr>
    <w:rPr>
      <w:rFonts w:ascii="Times New Roman" w:eastAsiaTheme="majorEastAsia" w:hAnsi="Times New Roman" w:cstheme="majorBidi"/>
      <w:b/>
      <w:color w:val="000000" w:themeColor="text1"/>
      <w:szCs w:val="40"/>
    </w:rPr>
  </w:style>
  <w:style w:type="paragraph" w:styleId="Heading2">
    <w:name w:val="heading 2"/>
    <w:basedOn w:val="Normal"/>
    <w:next w:val="Normal"/>
    <w:link w:val="Heading2Char"/>
    <w:autoRedefine/>
    <w:uiPriority w:val="9"/>
    <w:unhideWhenUsed/>
    <w:qFormat/>
    <w:rsid w:val="00627188"/>
    <w:pPr>
      <w:keepNext/>
      <w:keepLines/>
      <w:spacing w:before="160" w:after="80"/>
      <w:outlineLvl w:val="1"/>
    </w:pPr>
    <w:rPr>
      <w:rFonts w:ascii="Times New Roman" w:eastAsiaTheme="majorEastAsia" w:hAnsi="Times New Roman" w:cstheme="majorBidi"/>
      <w:b/>
      <w:color w:val="000000" w:themeColor="text1"/>
      <w:szCs w:val="32"/>
    </w:rPr>
  </w:style>
  <w:style w:type="paragraph" w:styleId="Heading3">
    <w:name w:val="heading 3"/>
    <w:basedOn w:val="Normal"/>
    <w:next w:val="Normal"/>
    <w:link w:val="Heading3Char"/>
    <w:uiPriority w:val="9"/>
    <w:semiHidden/>
    <w:unhideWhenUsed/>
    <w:qFormat/>
    <w:rsid w:val="00E224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24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24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24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24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24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24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188"/>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627188"/>
    <w:rPr>
      <w:rFonts w:ascii="Times New Roman" w:eastAsiaTheme="majorEastAsia" w:hAnsi="Times New Roman" w:cstheme="majorBidi"/>
      <w:b/>
      <w:color w:val="000000" w:themeColor="text1"/>
      <w:szCs w:val="32"/>
    </w:rPr>
  </w:style>
  <w:style w:type="character" w:customStyle="1" w:styleId="Heading3Char">
    <w:name w:val="Heading 3 Char"/>
    <w:basedOn w:val="DefaultParagraphFont"/>
    <w:link w:val="Heading3"/>
    <w:uiPriority w:val="9"/>
    <w:semiHidden/>
    <w:rsid w:val="00E224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24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24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24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24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24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243A"/>
    <w:rPr>
      <w:rFonts w:eastAsiaTheme="majorEastAsia" w:cstheme="majorBidi"/>
      <w:color w:val="272727" w:themeColor="text1" w:themeTint="D8"/>
    </w:rPr>
  </w:style>
  <w:style w:type="paragraph" w:styleId="Title">
    <w:name w:val="Title"/>
    <w:basedOn w:val="Normal"/>
    <w:next w:val="Normal"/>
    <w:link w:val="TitleChar"/>
    <w:uiPriority w:val="10"/>
    <w:qFormat/>
    <w:rsid w:val="00E224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24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24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24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243A"/>
    <w:pPr>
      <w:spacing w:before="160"/>
      <w:jc w:val="center"/>
    </w:pPr>
    <w:rPr>
      <w:i/>
      <w:iCs/>
      <w:color w:val="404040" w:themeColor="text1" w:themeTint="BF"/>
    </w:rPr>
  </w:style>
  <w:style w:type="character" w:customStyle="1" w:styleId="QuoteChar">
    <w:name w:val="Quote Char"/>
    <w:basedOn w:val="DefaultParagraphFont"/>
    <w:link w:val="Quote"/>
    <w:uiPriority w:val="29"/>
    <w:rsid w:val="00E2243A"/>
    <w:rPr>
      <w:i/>
      <w:iCs/>
      <w:color w:val="404040" w:themeColor="text1" w:themeTint="BF"/>
    </w:rPr>
  </w:style>
  <w:style w:type="paragraph" w:styleId="ListParagraph">
    <w:name w:val="List Paragraph"/>
    <w:basedOn w:val="Normal"/>
    <w:uiPriority w:val="34"/>
    <w:qFormat/>
    <w:rsid w:val="00E2243A"/>
    <w:pPr>
      <w:ind w:left="720"/>
      <w:contextualSpacing/>
    </w:pPr>
  </w:style>
  <w:style w:type="character" w:styleId="IntenseEmphasis">
    <w:name w:val="Intense Emphasis"/>
    <w:basedOn w:val="DefaultParagraphFont"/>
    <w:uiPriority w:val="21"/>
    <w:qFormat/>
    <w:rsid w:val="00E2243A"/>
    <w:rPr>
      <w:i/>
      <w:iCs/>
      <w:color w:val="2F5496" w:themeColor="accent1" w:themeShade="BF"/>
    </w:rPr>
  </w:style>
  <w:style w:type="paragraph" w:styleId="IntenseQuote">
    <w:name w:val="Intense Quote"/>
    <w:basedOn w:val="Normal"/>
    <w:next w:val="Normal"/>
    <w:link w:val="IntenseQuoteChar"/>
    <w:uiPriority w:val="30"/>
    <w:qFormat/>
    <w:rsid w:val="00E224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243A"/>
    <w:rPr>
      <w:i/>
      <w:iCs/>
      <w:color w:val="2F5496" w:themeColor="accent1" w:themeShade="BF"/>
    </w:rPr>
  </w:style>
  <w:style w:type="character" w:styleId="IntenseReference">
    <w:name w:val="Intense Reference"/>
    <w:basedOn w:val="DefaultParagraphFont"/>
    <w:uiPriority w:val="32"/>
    <w:qFormat/>
    <w:rsid w:val="00E2243A"/>
    <w:rPr>
      <w:b/>
      <w:bCs/>
      <w:smallCaps/>
      <w:color w:val="2F5496" w:themeColor="accent1" w:themeShade="BF"/>
      <w:spacing w:val="5"/>
    </w:rPr>
  </w:style>
  <w:style w:type="character" w:styleId="Hyperlink">
    <w:name w:val="Hyperlink"/>
    <w:basedOn w:val="DefaultParagraphFont"/>
    <w:uiPriority w:val="99"/>
    <w:unhideWhenUsed/>
    <w:rsid w:val="00786A14"/>
    <w:rPr>
      <w:color w:val="0563C1" w:themeColor="hyperlink"/>
      <w:u w:val="single"/>
    </w:rPr>
  </w:style>
  <w:style w:type="character" w:styleId="UnresolvedMention">
    <w:name w:val="Unresolved Mention"/>
    <w:basedOn w:val="DefaultParagraphFont"/>
    <w:uiPriority w:val="99"/>
    <w:semiHidden/>
    <w:unhideWhenUsed/>
    <w:rsid w:val="00786A14"/>
    <w:rPr>
      <w:color w:val="605E5C"/>
      <w:shd w:val="clear" w:color="auto" w:fill="E1DFDD"/>
    </w:rPr>
  </w:style>
  <w:style w:type="table" w:styleId="TableGrid">
    <w:name w:val="Table Grid"/>
    <w:basedOn w:val="TableNormal"/>
    <w:rsid w:val="007B0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70A82"/>
    <w:rPr>
      <w:color w:val="666666"/>
    </w:rPr>
  </w:style>
  <w:style w:type="paragraph" w:styleId="Header">
    <w:name w:val="header"/>
    <w:basedOn w:val="Normal"/>
    <w:link w:val="HeaderChar"/>
    <w:unhideWhenUsed/>
    <w:rsid w:val="00C72B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2B4E"/>
  </w:style>
  <w:style w:type="paragraph" w:styleId="Footer">
    <w:name w:val="footer"/>
    <w:basedOn w:val="Normal"/>
    <w:link w:val="FooterChar"/>
    <w:uiPriority w:val="99"/>
    <w:unhideWhenUsed/>
    <w:rsid w:val="00C72B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2B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ffiahhikmah11@gmail.com" TargetMode="Externa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yperlink" Target="https://www.stptower.com/annual-repo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7196A-327D-4A40-AE5C-F6CBB9C13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5028</Words>
  <Characters>28662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S U S</dc:creator>
  <cp:keywords/>
  <dc:description/>
  <cp:lastModifiedBy>TURNITIN 2</cp:lastModifiedBy>
  <cp:revision>4</cp:revision>
  <dcterms:created xsi:type="dcterms:W3CDTF">2025-11-26T08:13:00Z</dcterms:created>
  <dcterms:modified xsi:type="dcterms:W3CDTF">2026-01-06T08:24:00Z</dcterms:modified>
</cp:coreProperties>
</file>